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97" w:type="dxa"/>
        <w:tblInd w:w="30" w:type="dxa"/>
        <w:tblLayout w:type="fixed"/>
        <w:tblCellMar>
          <w:left w:w="120" w:type="dxa"/>
          <w:right w:w="120" w:type="dxa"/>
        </w:tblCellMar>
        <w:tblLook w:val="0000" w:firstRow="0" w:lastRow="0" w:firstColumn="0" w:lastColumn="0" w:noHBand="0" w:noVBand="0"/>
      </w:tblPr>
      <w:tblGrid>
        <w:gridCol w:w="10297"/>
      </w:tblGrid>
      <w:tr w:rsidR="00F45BF2" w:rsidRPr="0028078B" w14:paraId="1CCCA40D" w14:textId="77777777" w:rsidTr="004A5B4F">
        <w:trPr>
          <w:cantSplit/>
          <w:trHeight w:val="1223"/>
        </w:trPr>
        <w:tc>
          <w:tcPr>
            <w:tcW w:w="10297" w:type="dxa"/>
            <w:tcBorders>
              <w:top w:val="double" w:sz="6" w:space="0" w:color="auto"/>
              <w:left w:val="double" w:sz="6" w:space="0" w:color="auto"/>
              <w:bottom w:val="nil"/>
              <w:right w:val="double" w:sz="6" w:space="0" w:color="auto"/>
            </w:tcBorders>
          </w:tcPr>
          <w:p w14:paraId="729D6F88" w14:textId="77777777" w:rsidR="00F45BF2" w:rsidRPr="0028078B" w:rsidRDefault="00F45BF2" w:rsidP="003F44F6">
            <w:pPr>
              <w:pStyle w:val="BodyText"/>
              <w:kinsoku w:val="0"/>
              <w:overflowPunct w:val="0"/>
              <w:rPr>
                <w:sz w:val="36"/>
                <w:szCs w:val="36"/>
              </w:rPr>
            </w:pPr>
            <w:r>
              <w:rPr>
                <w:sz w:val="36"/>
                <w:szCs w:val="36"/>
              </w:rPr>
              <w:tab/>
            </w:r>
            <w:r>
              <w:rPr>
                <w:sz w:val="36"/>
                <w:szCs w:val="36"/>
              </w:rPr>
              <w:tab/>
              <w:t xml:space="preserve">         Environmental Health and Safety      </w:t>
            </w:r>
            <w:r>
              <w:rPr>
                <w:noProof/>
                <w:sz w:val="36"/>
                <w:szCs w:val="36"/>
              </w:rPr>
              <w:drawing>
                <wp:inline distT="0" distB="0" distL="0" distR="0" wp14:anchorId="79941AEE" wp14:editId="41DA043D">
                  <wp:extent cx="1181100" cy="556260"/>
                  <wp:effectExtent l="0" t="0" r="0" b="0"/>
                  <wp:docPr id="1" name="Picture 1" descr="S:\EHS Protocols and Metrics\EHS Forms\OPP_EHS stacked positive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HS Protocols and Metrics\EHS Forms\OPP_EHS stacked positive -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556260"/>
                          </a:xfrm>
                          <a:prstGeom prst="rect">
                            <a:avLst/>
                          </a:prstGeom>
                          <a:noFill/>
                          <a:ln>
                            <a:noFill/>
                          </a:ln>
                        </pic:spPr>
                      </pic:pic>
                    </a:graphicData>
                  </a:graphic>
                </wp:inline>
              </w:drawing>
            </w:r>
          </w:p>
        </w:tc>
      </w:tr>
      <w:tr w:rsidR="00F45BF2" w:rsidRPr="009B6172" w14:paraId="4F62F9A8" w14:textId="77777777" w:rsidTr="004A5B4F">
        <w:trPr>
          <w:cantSplit/>
          <w:trHeight w:val="855"/>
        </w:trPr>
        <w:tc>
          <w:tcPr>
            <w:tcW w:w="10297" w:type="dxa"/>
            <w:tcBorders>
              <w:top w:val="double" w:sz="6" w:space="0" w:color="auto"/>
              <w:left w:val="double" w:sz="6" w:space="0" w:color="auto"/>
              <w:bottom w:val="double" w:sz="6" w:space="0" w:color="auto"/>
              <w:right w:val="double" w:sz="6" w:space="0" w:color="auto"/>
            </w:tcBorders>
          </w:tcPr>
          <w:p w14:paraId="71BE5312" w14:textId="7D65127B" w:rsidR="00F45BF2" w:rsidRPr="005478BE" w:rsidRDefault="001E1EC5" w:rsidP="003F44F6">
            <w:pPr>
              <w:spacing w:before="120"/>
              <w:rPr>
                <w:rFonts w:ascii="Times New Roman" w:hAnsi="Times New Roman" w:cs="Times New Roman"/>
                <w:noProof/>
                <w:sz w:val="26"/>
                <w:szCs w:val="26"/>
              </w:rPr>
            </w:pPr>
            <w:r>
              <w:rPr>
                <w:rFonts w:ascii="Times New Roman" w:hAnsi="Times New Roman" w:cs="Times New Roman"/>
                <w:noProof/>
                <w:sz w:val="26"/>
                <w:szCs w:val="26"/>
              </w:rPr>
              <w:t xml:space="preserve">Attachment </w:t>
            </w:r>
            <w:r w:rsidR="00181092">
              <w:rPr>
                <w:rFonts w:ascii="Times New Roman" w:hAnsi="Times New Roman" w:cs="Times New Roman"/>
                <w:noProof/>
                <w:sz w:val="26"/>
                <w:szCs w:val="26"/>
              </w:rPr>
              <w:t>G</w:t>
            </w:r>
            <w:r>
              <w:rPr>
                <w:rFonts w:ascii="Times New Roman" w:hAnsi="Times New Roman" w:cs="Times New Roman"/>
                <w:noProof/>
                <w:sz w:val="26"/>
                <w:szCs w:val="26"/>
              </w:rPr>
              <w:t xml:space="preserve"> </w:t>
            </w:r>
            <w:r w:rsidR="006503B2">
              <w:rPr>
                <w:rFonts w:ascii="Times New Roman" w:hAnsi="Times New Roman" w:cs="Times New Roman"/>
                <w:noProof/>
                <w:sz w:val="26"/>
                <w:szCs w:val="26"/>
              </w:rPr>
              <w:t>–</w:t>
            </w:r>
            <w:r w:rsidR="00623EF8" w:rsidRPr="00B04C16">
              <w:rPr>
                <w:rFonts w:ascii="Times New Roman" w:hAnsi="Times New Roman" w:cs="Times New Roman"/>
                <w:noProof/>
                <w:sz w:val="26"/>
                <w:szCs w:val="26"/>
              </w:rPr>
              <w:t>Battery</w:t>
            </w:r>
            <w:r w:rsidR="006503B2">
              <w:rPr>
                <w:rFonts w:ascii="Times New Roman" w:hAnsi="Times New Roman" w:cs="Times New Roman"/>
                <w:noProof/>
                <w:sz w:val="26"/>
                <w:szCs w:val="26"/>
              </w:rPr>
              <w:t xml:space="preserve"> Guide</w:t>
            </w:r>
          </w:p>
          <w:p w14:paraId="2D85DD44" w14:textId="535CA4C3" w:rsidR="00F45BF2" w:rsidRPr="005478BE" w:rsidRDefault="00F45BF2" w:rsidP="00F45BF2">
            <w:pPr>
              <w:spacing w:before="120"/>
              <w:jc w:val="left"/>
              <w:rPr>
                <w:rFonts w:ascii="Times New Roman" w:hAnsi="Times New Roman" w:cs="Times New Roman"/>
                <w:noProof/>
              </w:rPr>
            </w:pPr>
            <w:r w:rsidRPr="005478BE">
              <w:rPr>
                <w:rFonts w:ascii="Times New Roman" w:hAnsi="Times New Roman" w:cs="Times New Roman"/>
                <w:b/>
                <w:noProof/>
              </w:rPr>
              <w:t>Document #:</w:t>
            </w:r>
            <w:r w:rsidRPr="005478BE">
              <w:rPr>
                <w:rFonts w:ascii="Times New Roman" w:hAnsi="Times New Roman" w:cs="Times New Roman"/>
                <w:b/>
                <w:noProof/>
              </w:rPr>
              <w:tab/>
            </w:r>
            <w:r w:rsidRPr="005478BE">
              <w:rPr>
                <w:rFonts w:ascii="Times New Roman" w:hAnsi="Times New Roman" w:cs="Times New Roman"/>
                <w:noProof/>
              </w:rPr>
              <w:t>EHS-00</w:t>
            </w:r>
            <w:r w:rsidR="006503B2">
              <w:rPr>
                <w:rFonts w:ascii="Times New Roman" w:hAnsi="Times New Roman" w:cs="Times New Roman"/>
                <w:noProof/>
              </w:rPr>
              <w:t>26</w:t>
            </w:r>
            <w:r w:rsidR="001E1EC5">
              <w:rPr>
                <w:rFonts w:ascii="Times New Roman" w:hAnsi="Times New Roman" w:cs="Times New Roman"/>
                <w:noProof/>
              </w:rPr>
              <w:t>at</w:t>
            </w:r>
            <w:r w:rsidR="00181092">
              <w:rPr>
                <w:rFonts w:ascii="Times New Roman" w:hAnsi="Times New Roman" w:cs="Times New Roman"/>
                <w:noProof/>
              </w:rPr>
              <w:t>g</w:t>
            </w:r>
            <w:r w:rsidRPr="005478BE">
              <w:rPr>
                <w:rFonts w:ascii="Times New Roman" w:hAnsi="Times New Roman" w:cs="Times New Roman"/>
                <w:noProof/>
              </w:rPr>
              <w:tab/>
            </w:r>
            <w:r>
              <w:rPr>
                <w:rFonts w:ascii="Times New Roman" w:hAnsi="Times New Roman" w:cs="Times New Roman"/>
                <w:b/>
                <w:noProof/>
              </w:rPr>
              <w:tab/>
            </w:r>
            <w:r>
              <w:rPr>
                <w:rFonts w:ascii="Times New Roman" w:hAnsi="Times New Roman" w:cs="Times New Roman"/>
                <w:b/>
                <w:noProof/>
              </w:rPr>
              <w:tab/>
            </w:r>
            <w:r>
              <w:rPr>
                <w:rFonts w:ascii="Times New Roman" w:hAnsi="Times New Roman" w:cs="Times New Roman"/>
                <w:b/>
                <w:noProof/>
              </w:rPr>
              <w:tab/>
            </w:r>
            <w:r>
              <w:rPr>
                <w:rFonts w:ascii="Times New Roman" w:hAnsi="Times New Roman" w:cs="Times New Roman"/>
                <w:b/>
                <w:noProof/>
              </w:rPr>
              <w:tab/>
            </w:r>
            <w:r w:rsidR="004A5B4F">
              <w:rPr>
                <w:rFonts w:ascii="Times New Roman" w:hAnsi="Times New Roman" w:cs="Times New Roman"/>
                <w:b/>
                <w:noProof/>
              </w:rPr>
              <w:tab/>
            </w:r>
            <w:r w:rsidR="004A5B4F">
              <w:rPr>
                <w:rFonts w:ascii="Times New Roman" w:hAnsi="Times New Roman" w:cs="Times New Roman"/>
                <w:b/>
                <w:noProof/>
              </w:rPr>
              <w:tab/>
            </w:r>
            <w:r w:rsidRPr="005478BE">
              <w:rPr>
                <w:rFonts w:ascii="Times New Roman" w:hAnsi="Times New Roman" w:cs="Times New Roman"/>
                <w:b/>
                <w:noProof/>
              </w:rPr>
              <w:t>Issued:</w:t>
            </w:r>
            <w:r w:rsidRPr="005478BE">
              <w:rPr>
                <w:rFonts w:ascii="Times New Roman" w:hAnsi="Times New Roman" w:cs="Times New Roman"/>
                <w:noProof/>
              </w:rPr>
              <w:tab/>
            </w:r>
            <w:r w:rsidRPr="005478BE">
              <w:rPr>
                <w:rFonts w:ascii="Times New Roman" w:hAnsi="Times New Roman" w:cs="Times New Roman"/>
                <w:noProof/>
              </w:rPr>
              <w:tab/>
            </w:r>
            <w:r w:rsidR="00C9091D">
              <w:rPr>
                <w:rFonts w:ascii="Times New Roman" w:hAnsi="Times New Roman" w:cs="Times New Roman"/>
                <w:noProof/>
              </w:rPr>
              <w:t>01/04/2021</w:t>
            </w:r>
          </w:p>
          <w:p w14:paraId="038639C5" w14:textId="77777777" w:rsidR="00F45BF2" w:rsidRPr="009B6172" w:rsidRDefault="00F45BF2" w:rsidP="004A5B4F">
            <w:pPr>
              <w:tabs>
                <w:tab w:val="left" w:pos="720"/>
                <w:tab w:val="left" w:pos="1440"/>
                <w:tab w:val="left" w:pos="2160"/>
                <w:tab w:val="left" w:pos="2880"/>
                <w:tab w:val="left" w:pos="3600"/>
                <w:tab w:val="left" w:pos="4320"/>
                <w:tab w:val="left" w:pos="5040"/>
                <w:tab w:val="left" w:pos="5760"/>
                <w:tab w:val="left" w:pos="6480"/>
                <w:tab w:val="left" w:pos="6760"/>
                <w:tab w:val="left" w:pos="7117"/>
                <w:tab w:val="left" w:pos="7200"/>
                <w:tab w:val="left" w:pos="7920"/>
                <w:tab w:val="left" w:pos="8640"/>
              </w:tabs>
              <w:jc w:val="left"/>
              <w:rPr>
                <w:noProof/>
              </w:rPr>
            </w:pP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sidR="004A5B4F">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sidRPr="005478BE">
              <w:rPr>
                <w:rFonts w:ascii="Times New Roman" w:hAnsi="Times New Roman" w:cs="Times New Roman"/>
                <w:b/>
                <w:noProof/>
              </w:rPr>
              <w:t xml:space="preserve">Version: </w:t>
            </w:r>
            <w:r w:rsidRPr="005478BE">
              <w:rPr>
                <w:rFonts w:ascii="Times New Roman" w:hAnsi="Times New Roman" w:cs="Times New Roman"/>
                <w:b/>
                <w:noProof/>
              </w:rPr>
              <w:tab/>
            </w:r>
            <w:r w:rsidR="00A73839">
              <w:rPr>
                <w:rFonts w:ascii="Times New Roman" w:hAnsi="Times New Roman" w:cs="Times New Roman"/>
                <w:b/>
                <w:noProof/>
              </w:rPr>
              <w:t>0</w:t>
            </w:r>
            <w:r w:rsidRPr="005478BE">
              <w:rPr>
                <w:rFonts w:ascii="Times New Roman" w:hAnsi="Times New Roman" w:cs="Times New Roman"/>
                <w:noProof/>
              </w:rPr>
              <w:tab/>
            </w:r>
          </w:p>
        </w:tc>
      </w:tr>
    </w:tbl>
    <w:p w14:paraId="3BC7646E" w14:textId="77777777" w:rsidR="006503B2" w:rsidRDefault="006503B2" w:rsidP="006503B2">
      <w:pPr>
        <w:jc w:val="left"/>
        <w:rPr>
          <w:rFonts w:eastAsia="Times New Roman" w:cs="Times New Roman"/>
          <w:b/>
        </w:rPr>
      </w:pPr>
    </w:p>
    <w:p w14:paraId="2BD78B19" w14:textId="00F7C183" w:rsidR="006503B2" w:rsidRPr="002A5026" w:rsidRDefault="006503B2" w:rsidP="006503B2">
      <w:pPr>
        <w:pStyle w:val="Heading1"/>
        <w:rPr>
          <w:rFonts w:asciiTheme="minorHAnsi" w:eastAsia="Times New Roman" w:hAnsiTheme="minorHAnsi" w:cstheme="minorHAnsi"/>
          <w:szCs w:val="24"/>
        </w:rPr>
      </w:pPr>
      <w:r w:rsidRPr="002A5026">
        <w:rPr>
          <w:rFonts w:asciiTheme="minorHAnsi" w:eastAsia="Times New Roman" w:hAnsiTheme="minorHAnsi" w:cstheme="minorHAnsi"/>
          <w:szCs w:val="24"/>
        </w:rPr>
        <w:t>1.0</w:t>
      </w:r>
      <w:r w:rsidRPr="002A5026">
        <w:rPr>
          <w:rFonts w:asciiTheme="minorHAnsi" w:eastAsia="Times New Roman" w:hAnsiTheme="minorHAnsi" w:cstheme="minorHAnsi"/>
          <w:szCs w:val="24"/>
        </w:rPr>
        <w:tab/>
        <w:t>Purpose</w:t>
      </w:r>
    </w:p>
    <w:p w14:paraId="7924D6FB" w14:textId="323A6688" w:rsidR="006503B2" w:rsidRPr="002A5026" w:rsidRDefault="006503B2" w:rsidP="006503B2">
      <w:pPr>
        <w:jc w:val="left"/>
        <w:rPr>
          <w:rFonts w:asciiTheme="minorHAnsi" w:eastAsia="Times New Roman" w:hAnsiTheme="minorHAnsi" w:cstheme="minorHAnsi"/>
        </w:rPr>
      </w:pPr>
    </w:p>
    <w:p w14:paraId="057C3192" w14:textId="43006B7D" w:rsidR="006503B2" w:rsidRPr="002A5026" w:rsidRDefault="000342B8" w:rsidP="000342B8">
      <w:pPr>
        <w:ind w:left="720"/>
        <w:jc w:val="left"/>
        <w:rPr>
          <w:rFonts w:asciiTheme="minorHAnsi" w:eastAsia="Times New Roman" w:hAnsiTheme="minorHAnsi" w:cstheme="minorHAnsi"/>
        </w:rPr>
      </w:pPr>
      <w:r w:rsidRPr="002A5026">
        <w:rPr>
          <w:rFonts w:asciiTheme="minorHAnsi" w:eastAsia="Times New Roman" w:hAnsiTheme="minorHAnsi" w:cstheme="minorHAnsi"/>
        </w:rPr>
        <w:t xml:space="preserve">The following guidance is intended to outline the proper handling, storage, and disposal of </w:t>
      </w:r>
      <w:r w:rsidR="00260596" w:rsidRPr="002A5026">
        <w:rPr>
          <w:rFonts w:asciiTheme="minorHAnsi" w:eastAsia="Times New Roman" w:hAnsiTheme="minorHAnsi" w:cstheme="minorHAnsi"/>
        </w:rPr>
        <w:t xml:space="preserve">batteries </w:t>
      </w:r>
      <w:r w:rsidRPr="002A5026">
        <w:rPr>
          <w:rFonts w:asciiTheme="minorHAnsi" w:eastAsia="Times New Roman" w:hAnsiTheme="minorHAnsi" w:cstheme="minorHAnsi"/>
        </w:rPr>
        <w:t>generated within the University.  Strict adherence to these requirements enables Penn State to manage these waste streams under the Universal Waste regulations.  Failure to follow these requirements would require the materials to be regulated as Hazardous Waste.</w:t>
      </w:r>
    </w:p>
    <w:p w14:paraId="64D63824" w14:textId="77777777" w:rsidR="000342B8" w:rsidRPr="002A5026" w:rsidRDefault="000342B8" w:rsidP="006503B2">
      <w:pPr>
        <w:jc w:val="left"/>
        <w:rPr>
          <w:rFonts w:asciiTheme="minorHAnsi" w:eastAsia="Times New Roman" w:hAnsiTheme="minorHAnsi" w:cstheme="minorHAnsi"/>
        </w:rPr>
      </w:pPr>
    </w:p>
    <w:p w14:paraId="15585745" w14:textId="77777777" w:rsidR="006503B2" w:rsidRPr="002A5026" w:rsidRDefault="006503B2" w:rsidP="000342B8">
      <w:pPr>
        <w:pStyle w:val="Heading1"/>
        <w:rPr>
          <w:rFonts w:asciiTheme="minorHAnsi" w:eastAsia="Times New Roman" w:hAnsiTheme="minorHAnsi" w:cstheme="minorHAnsi"/>
        </w:rPr>
      </w:pPr>
      <w:r w:rsidRPr="002A5026">
        <w:rPr>
          <w:rFonts w:asciiTheme="minorHAnsi" w:eastAsia="Times New Roman" w:hAnsiTheme="minorHAnsi" w:cstheme="minorHAnsi"/>
        </w:rPr>
        <w:t>2.0</w:t>
      </w:r>
      <w:r w:rsidRPr="002A5026">
        <w:rPr>
          <w:rFonts w:asciiTheme="minorHAnsi" w:eastAsia="Times New Roman" w:hAnsiTheme="minorHAnsi" w:cstheme="minorHAnsi"/>
        </w:rPr>
        <w:tab/>
        <w:t>Scope</w:t>
      </w:r>
    </w:p>
    <w:p w14:paraId="4068A49E" w14:textId="0B60C8C9" w:rsidR="006503B2" w:rsidRPr="002A5026" w:rsidRDefault="006503B2" w:rsidP="006503B2">
      <w:pPr>
        <w:jc w:val="left"/>
        <w:rPr>
          <w:rFonts w:asciiTheme="minorHAnsi" w:eastAsia="Times New Roman" w:hAnsiTheme="minorHAnsi" w:cstheme="minorHAnsi"/>
          <w:iCs/>
        </w:rPr>
      </w:pPr>
    </w:p>
    <w:p w14:paraId="1B037D1F" w14:textId="2DCCF2CC" w:rsidR="000342B8" w:rsidRPr="002A5026" w:rsidRDefault="000342B8" w:rsidP="000342B8">
      <w:pPr>
        <w:ind w:left="720"/>
        <w:jc w:val="left"/>
        <w:rPr>
          <w:rFonts w:asciiTheme="minorHAnsi" w:eastAsia="Times New Roman" w:hAnsiTheme="minorHAnsi" w:cstheme="minorHAnsi"/>
          <w:iCs/>
        </w:rPr>
      </w:pPr>
      <w:r w:rsidRPr="006D5582">
        <w:rPr>
          <w:rFonts w:asciiTheme="minorHAnsi" w:eastAsia="Times New Roman" w:hAnsiTheme="minorHAnsi" w:cstheme="minorHAnsi"/>
          <w:iCs/>
        </w:rPr>
        <w:t xml:space="preserve">This guidance covers all </w:t>
      </w:r>
      <w:r w:rsidR="00B04C16" w:rsidRPr="006D5582">
        <w:rPr>
          <w:rFonts w:asciiTheme="minorHAnsi" w:eastAsia="Times New Roman" w:hAnsiTheme="minorHAnsi" w:cstheme="minorHAnsi"/>
          <w:iCs/>
        </w:rPr>
        <w:t xml:space="preserve">recyclable </w:t>
      </w:r>
      <w:r w:rsidR="00260596" w:rsidRPr="006D5582">
        <w:rPr>
          <w:rFonts w:asciiTheme="minorHAnsi" w:eastAsia="Times New Roman" w:hAnsiTheme="minorHAnsi" w:cstheme="minorHAnsi"/>
          <w:iCs/>
        </w:rPr>
        <w:t>batteries</w:t>
      </w:r>
      <w:r w:rsidRPr="006D5582">
        <w:rPr>
          <w:rFonts w:asciiTheme="minorHAnsi" w:eastAsia="Times New Roman" w:hAnsiTheme="minorHAnsi" w:cstheme="minorHAnsi"/>
          <w:iCs/>
        </w:rPr>
        <w:t xml:space="preserve"> generated by University operations</w:t>
      </w:r>
      <w:r w:rsidR="00B04C16" w:rsidRPr="006D5582">
        <w:rPr>
          <w:rFonts w:asciiTheme="minorHAnsi" w:eastAsia="Times New Roman" w:hAnsiTheme="minorHAnsi" w:cstheme="minorHAnsi"/>
          <w:iCs/>
        </w:rPr>
        <w:t>.</w:t>
      </w:r>
      <w:r w:rsidRPr="006D5582">
        <w:rPr>
          <w:rFonts w:asciiTheme="minorHAnsi" w:eastAsia="Times New Roman" w:hAnsiTheme="minorHAnsi" w:cstheme="minorHAnsi"/>
          <w:iCs/>
        </w:rPr>
        <w:t xml:space="preserve"> </w:t>
      </w:r>
      <w:r w:rsidR="00B04C16" w:rsidRPr="006D5582">
        <w:rPr>
          <w:rFonts w:asciiTheme="minorHAnsi" w:eastAsia="Times New Roman" w:hAnsiTheme="minorHAnsi" w:cstheme="minorHAnsi"/>
          <w:iCs/>
        </w:rPr>
        <w:t xml:space="preserve">Recyclable batteries </w:t>
      </w:r>
      <w:r w:rsidRPr="006D5582">
        <w:rPr>
          <w:rFonts w:asciiTheme="minorHAnsi" w:eastAsia="Times New Roman" w:hAnsiTheme="minorHAnsi" w:cstheme="minorHAnsi"/>
          <w:iCs/>
        </w:rPr>
        <w:t xml:space="preserve">include </w:t>
      </w:r>
      <w:r w:rsidR="00260596" w:rsidRPr="006D5582">
        <w:rPr>
          <w:rFonts w:asciiTheme="minorHAnsi" w:eastAsia="Times New Roman" w:hAnsiTheme="minorHAnsi" w:cstheme="minorHAnsi"/>
          <w:iCs/>
        </w:rPr>
        <w:t>lead acid, nickel cad</w:t>
      </w:r>
      <w:r w:rsidR="00284B66" w:rsidRPr="006D5582">
        <w:rPr>
          <w:rFonts w:asciiTheme="minorHAnsi" w:eastAsia="Times New Roman" w:hAnsiTheme="minorHAnsi" w:cstheme="minorHAnsi"/>
          <w:iCs/>
        </w:rPr>
        <w:t>m</w:t>
      </w:r>
      <w:r w:rsidR="00260596" w:rsidRPr="006D5582">
        <w:rPr>
          <w:rFonts w:asciiTheme="minorHAnsi" w:eastAsia="Times New Roman" w:hAnsiTheme="minorHAnsi" w:cstheme="minorHAnsi"/>
          <w:iCs/>
        </w:rPr>
        <w:t>ium, nickel metal hydride, lithium ion, and lithium polymer (single use) batteries.</w:t>
      </w:r>
    </w:p>
    <w:p w14:paraId="26DB68A5" w14:textId="4A4A5556" w:rsidR="00556B20" w:rsidRPr="002A5026" w:rsidRDefault="00556B20" w:rsidP="000342B8">
      <w:pPr>
        <w:ind w:left="720"/>
        <w:jc w:val="left"/>
        <w:rPr>
          <w:rFonts w:asciiTheme="minorHAnsi" w:eastAsia="Times New Roman" w:hAnsiTheme="minorHAnsi" w:cstheme="minorHAnsi"/>
          <w:iCs/>
        </w:rPr>
      </w:pPr>
    </w:p>
    <w:p w14:paraId="20B8A474" w14:textId="3B42816B" w:rsidR="00556B20" w:rsidRPr="002A5026" w:rsidRDefault="00260596" w:rsidP="000342B8">
      <w:pPr>
        <w:ind w:left="720"/>
        <w:jc w:val="left"/>
        <w:rPr>
          <w:rFonts w:asciiTheme="minorHAnsi" w:eastAsia="Times New Roman" w:hAnsiTheme="minorHAnsi" w:cstheme="minorHAnsi"/>
          <w:iCs/>
        </w:rPr>
      </w:pPr>
      <w:r w:rsidRPr="002A5026">
        <w:rPr>
          <w:rFonts w:asciiTheme="minorHAnsi" w:eastAsia="Times New Roman" w:hAnsiTheme="minorHAnsi" w:cstheme="minorHAnsi"/>
          <w:iCs/>
        </w:rPr>
        <w:t xml:space="preserve">Alkaline batteries </w:t>
      </w:r>
      <w:r w:rsidR="00556B20" w:rsidRPr="002A5026">
        <w:rPr>
          <w:rFonts w:asciiTheme="minorHAnsi" w:eastAsia="Times New Roman" w:hAnsiTheme="minorHAnsi" w:cstheme="minorHAnsi"/>
          <w:iCs/>
        </w:rPr>
        <w:t xml:space="preserve">are not covered by this guidance and </w:t>
      </w:r>
      <w:r w:rsidR="00B04C16">
        <w:rPr>
          <w:rFonts w:asciiTheme="minorHAnsi" w:eastAsia="Times New Roman" w:hAnsiTheme="minorHAnsi" w:cstheme="minorHAnsi"/>
          <w:iCs/>
        </w:rPr>
        <w:t>should</w:t>
      </w:r>
      <w:r w:rsidR="00B04C16" w:rsidRPr="002A5026">
        <w:rPr>
          <w:rFonts w:asciiTheme="minorHAnsi" w:eastAsia="Times New Roman" w:hAnsiTheme="minorHAnsi" w:cstheme="minorHAnsi"/>
          <w:iCs/>
        </w:rPr>
        <w:t xml:space="preserve"> </w:t>
      </w:r>
      <w:r w:rsidR="00556B20" w:rsidRPr="002A5026">
        <w:rPr>
          <w:rFonts w:asciiTheme="minorHAnsi" w:eastAsia="Times New Roman" w:hAnsiTheme="minorHAnsi" w:cstheme="minorHAnsi"/>
          <w:iCs/>
        </w:rPr>
        <w:t xml:space="preserve">be disposed with the regular trash </w:t>
      </w:r>
      <w:r w:rsidR="00B04C16" w:rsidRPr="002A5026">
        <w:rPr>
          <w:rFonts w:asciiTheme="minorHAnsi" w:eastAsia="Times New Roman" w:hAnsiTheme="minorHAnsi" w:cstheme="minorHAnsi"/>
          <w:iCs/>
        </w:rPr>
        <w:t xml:space="preserve">generated </w:t>
      </w:r>
      <w:r w:rsidR="00556B20" w:rsidRPr="002A5026">
        <w:rPr>
          <w:rFonts w:asciiTheme="minorHAnsi" w:eastAsia="Times New Roman" w:hAnsiTheme="minorHAnsi" w:cstheme="minorHAnsi"/>
          <w:iCs/>
        </w:rPr>
        <w:t xml:space="preserve">for </w:t>
      </w:r>
      <w:r w:rsidR="00B04C16">
        <w:rPr>
          <w:rFonts w:asciiTheme="minorHAnsi" w:eastAsia="Times New Roman" w:hAnsiTheme="minorHAnsi" w:cstheme="minorHAnsi"/>
          <w:iCs/>
        </w:rPr>
        <w:t xml:space="preserve">the </w:t>
      </w:r>
      <w:r w:rsidR="00556B20" w:rsidRPr="002A5026">
        <w:rPr>
          <w:rFonts w:asciiTheme="minorHAnsi" w:eastAsia="Times New Roman" w:hAnsiTheme="minorHAnsi" w:cstheme="minorHAnsi"/>
          <w:iCs/>
        </w:rPr>
        <w:t>area.</w:t>
      </w:r>
    </w:p>
    <w:p w14:paraId="322338D1" w14:textId="77777777" w:rsidR="000342B8" w:rsidRPr="002A5026" w:rsidRDefault="000342B8" w:rsidP="006503B2">
      <w:pPr>
        <w:jc w:val="left"/>
        <w:rPr>
          <w:rFonts w:asciiTheme="minorHAnsi" w:eastAsia="Times New Roman" w:hAnsiTheme="minorHAnsi" w:cstheme="minorHAnsi"/>
        </w:rPr>
      </w:pPr>
    </w:p>
    <w:p w14:paraId="2194589A" w14:textId="5567323E" w:rsidR="00556B20" w:rsidRPr="002A5026" w:rsidRDefault="006503B2" w:rsidP="00556B20">
      <w:pPr>
        <w:pStyle w:val="Heading1"/>
        <w:rPr>
          <w:rFonts w:asciiTheme="minorHAnsi" w:eastAsia="Times New Roman" w:hAnsiTheme="minorHAnsi" w:cstheme="minorHAnsi"/>
        </w:rPr>
      </w:pPr>
      <w:r w:rsidRPr="002A5026">
        <w:rPr>
          <w:rFonts w:asciiTheme="minorHAnsi" w:eastAsia="Times New Roman" w:hAnsiTheme="minorHAnsi" w:cstheme="minorHAnsi"/>
        </w:rPr>
        <w:t>3.0</w:t>
      </w:r>
      <w:r w:rsidRPr="002A5026">
        <w:rPr>
          <w:rFonts w:asciiTheme="minorHAnsi" w:eastAsia="Times New Roman" w:hAnsiTheme="minorHAnsi" w:cstheme="minorHAnsi"/>
        </w:rPr>
        <w:tab/>
        <w:t>Responsibility</w:t>
      </w:r>
    </w:p>
    <w:p w14:paraId="72FF6AAF" w14:textId="4BACA692" w:rsidR="00556B20" w:rsidRPr="002A5026" w:rsidRDefault="00556B20" w:rsidP="00556B20">
      <w:pPr>
        <w:jc w:val="both"/>
        <w:rPr>
          <w:rFonts w:asciiTheme="minorHAnsi" w:hAnsiTheme="minorHAnsi" w:cstheme="minorHAnsi"/>
        </w:rPr>
      </w:pPr>
    </w:p>
    <w:p w14:paraId="397F1791" w14:textId="6D8FE1A0" w:rsidR="00556B20" w:rsidRPr="002A5026" w:rsidRDefault="00556B20" w:rsidP="00556B20">
      <w:pPr>
        <w:jc w:val="both"/>
        <w:rPr>
          <w:rFonts w:asciiTheme="minorHAnsi" w:hAnsiTheme="minorHAnsi" w:cstheme="minorHAnsi"/>
        </w:rPr>
      </w:pPr>
      <w:r w:rsidRPr="002A5026">
        <w:rPr>
          <w:rFonts w:asciiTheme="minorHAnsi" w:hAnsiTheme="minorHAnsi" w:cstheme="minorHAnsi"/>
        </w:rPr>
        <w:tab/>
        <w:t>Specific responsibilities are defined within the Chemical Waste Management Plan</w:t>
      </w:r>
      <w:r w:rsidR="00284B66">
        <w:rPr>
          <w:rFonts w:asciiTheme="minorHAnsi" w:hAnsiTheme="minorHAnsi" w:cstheme="minorHAnsi"/>
        </w:rPr>
        <w:t>.</w:t>
      </w:r>
    </w:p>
    <w:p w14:paraId="115C08B1" w14:textId="77777777" w:rsidR="00556B20" w:rsidRPr="002A5026" w:rsidRDefault="00556B20" w:rsidP="006503B2">
      <w:pPr>
        <w:jc w:val="left"/>
        <w:rPr>
          <w:rFonts w:asciiTheme="minorHAnsi" w:eastAsia="Times New Roman" w:hAnsiTheme="minorHAnsi" w:cstheme="minorHAnsi"/>
        </w:rPr>
      </w:pPr>
    </w:p>
    <w:p w14:paraId="4F1975AF" w14:textId="25284BB7" w:rsidR="006503B2" w:rsidRPr="002A5026" w:rsidRDefault="00556B20" w:rsidP="00EE7F55">
      <w:pPr>
        <w:pStyle w:val="Heading1"/>
        <w:rPr>
          <w:rFonts w:asciiTheme="minorHAnsi" w:eastAsia="Times New Roman" w:hAnsiTheme="minorHAnsi" w:cstheme="minorHAnsi"/>
        </w:rPr>
      </w:pPr>
      <w:r w:rsidRPr="002A5026">
        <w:rPr>
          <w:rFonts w:asciiTheme="minorHAnsi" w:eastAsia="Times New Roman" w:hAnsiTheme="minorHAnsi" w:cstheme="minorHAnsi"/>
        </w:rPr>
        <w:t>4</w:t>
      </w:r>
      <w:r w:rsidR="006503B2" w:rsidRPr="002A5026">
        <w:rPr>
          <w:rFonts w:asciiTheme="minorHAnsi" w:eastAsia="Times New Roman" w:hAnsiTheme="minorHAnsi" w:cstheme="minorHAnsi"/>
        </w:rPr>
        <w:t>.0</w:t>
      </w:r>
      <w:r w:rsidR="006503B2" w:rsidRPr="002A5026">
        <w:rPr>
          <w:rFonts w:asciiTheme="minorHAnsi" w:eastAsia="Times New Roman" w:hAnsiTheme="minorHAnsi" w:cstheme="minorHAnsi"/>
        </w:rPr>
        <w:tab/>
      </w:r>
      <w:r w:rsidR="00EE7F55" w:rsidRPr="002A5026">
        <w:rPr>
          <w:rFonts w:asciiTheme="minorHAnsi" w:eastAsia="Times New Roman" w:hAnsiTheme="minorHAnsi" w:cstheme="minorHAnsi"/>
        </w:rPr>
        <w:t>Procedures</w:t>
      </w:r>
    </w:p>
    <w:p w14:paraId="6164F452" w14:textId="78FDC7C6" w:rsidR="00EE7F55" w:rsidRPr="002A5026" w:rsidRDefault="00EE7F55" w:rsidP="00EE7F55">
      <w:pPr>
        <w:jc w:val="both"/>
        <w:rPr>
          <w:rFonts w:asciiTheme="minorHAnsi" w:hAnsiTheme="minorHAnsi" w:cstheme="minorHAnsi"/>
        </w:rPr>
      </w:pPr>
    </w:p>
    <w:p w14:paraId="3AE5FCE7" w14:textId="016BCA81" w:rsidR="00EE7F55" w:rsidRPr="002A5026" w:rsidRDefault="00EE7F55" w:rsidP="00EE7F55">
      <w:pPr>
        <w:ind w:left="720"/>
        <w:jc w:val="both"/>
        <w:rPr>
          <w:rFonts w:asciiTheme="minorHAnsi" w:hAnsiTheme="minorHAnsi" w:cstheme="minorHAnsi"/>
        </w:rPr>
      </w:pPr>
      <w:r w:rsidRPr="002A5026">
        <w:rPr>
          <w:rFonts w:asciiTheme="minorHAnsi" w:hAnsiTheme="minorHAnsi" w:cstheme="minorHAnsi"/>
        </w:rPr>
        <w:t xml:space="preserve">The procedures for proper handling of </w:t>
      </w:r>
      <w:r w:rsidR="00260596" w:rsidRPr="002A5026">
        <w:rPr>
          <w:rFonts w:asciiTheme="minorHAnsi" w:hAnsiTheme="minorHAnsi" w:cstheme="minorHAnsi"/>
        </w:rPr>
        <w:t xml:space="preserve">batteries </w:t>
      </w:r>
      <w:r w:rsidR="00284B66">
        <w:rPr>
          <w:rFonts w:asciiTheme="minorHAnsi" w:hAnsiTheme="minorHAnsi" w:cstheme="minorHAnsi"/>
        </w:rPr>
        <w:t>are</w:t>
      </w:r>
      <w:r w:rsidRPr="002A5026">
        <w:rPr>
          <w:rFonts w:asciiTheme="minorHAnsi" w:hAnsiTheme="minorHAnsi" w:cstheme="minorHAnsi"/>
        </w:rPr>
        <w:t xml:space="preserve"> divided into several key sections, </w:t>
      </w:r>
      <w:proofErr w:type="gramStart"/>
      <w:r w:rsidRPr="002A5026">
        <w:rPr>
          <w:rFonts w:asciiTheme="minorHAnsi" w:hAnsiTheme="minorHAnsi" w:cstheme="minorHAnsi"/>
        </w:rPr>
        <w:t>including;</w:t>
      </w:r>
      <w:proofErr w:type="gramEnd"/>
      <w:r w:rsidRPr="002A5026">
        <w:rPr>
          <w:rFonts w:asciiTheme="minorHAnsi" w:hAnsiTheme="minorHAnsi" w:cstheme="minorHAnsi"/>
        </w:rPr>
        <w:t xml:space="preserve"> Packaging, Labeling, Transporting, and Disposal.</w:t>
      </w:r>
      <w:r w:rsidR="00337A32" w:rsidRPr="002A5026">
        <w:rPr>
          <w:rFonts w:asciiTheme="minorHAnsi" w:hAnsiTheme="minorHAnsi" w:cstheme="minorHAnsi"/>
        </w:rPr>
        <w:t xml:space="preserve">  The associated information for each type of waste is summarized below.</w:t>
      </w:r>
    </w:p>
    <w:p w14:paraId="39969589" w14:textId="2F0A0A24" w:rsidR="00587260" w:rsidRPr="002A5026" w:rsidRDefault="00587260" w:rsidP="00EE7F55">
      <w:pPr>
        <w:ind w:left="720"/>
        <w:jc w:val="both"/>
        <w:rPr>
          <w:rFonts w:asciiTheme="minorHAnsi" w:hAnsiTheme="minorHAnsi" w:cstheme="minorHAnsi"/>
        </w:rPr>
      </w:pPr>
    </w:p>
    <w:p w14:paraId="2F33E2CB" w14:textId="5090EF87" w:rsidR="00337A32" w:rsidRPr="002A5026" w:rsidRDefault="00260596" w:rsidP="00EE7F55">
      <w:pPr>
        <w:ind w:left="720"/>
        <w:jc w:val="both"/>
        <w:rPr>
          <w:rFonts w:asciiTheme="minorHAnsi" w:hAnsiTheme="minorHAnsi" w:cstheme="minorHAnsi"/>
          <w:b/>
          <w:bCs/>
        </w:rPr>
      </w:pPr>
      <w:r w:rsidRPr="002A5026">
        <w:rPr>
          <w:rFonts w:asciiTheme="minorHAnsi" w:hAnsiTheme="minorHAnsi" w:cstheme="minorHAnsi"/>
          <w:b/>
          <w:bCs/>
        </w:rPr>
        <w:t>Batteries</w:t>
      </w:r>
    </w:p>
    <w:p w14:paraId="06A2CFC9" w14:textId="77777777" w:rsidR="00337A32" w:rsidRPr="002A5026" w:rsidRDefault="00337A32" w:rsidP="00EE7F55">
      <w:pPr>
        <w:ind w:left="720"/>
        <w:jc w:val="both"/>
        <w:rPr>
          <w:rFonts w:asciiTheme="minorHAnsi" w:hAnsiTheme="minorHAnsi" w:cstheme="minorHAnsi"/>
        </w:rPr>
      </w:pPr>
    </w:p>
    <w:p w14:paraId="79B56307" w14:textId="25ABB396" w:rsidR="00587260" w:rsidRPr="002A5026" w:rsidRDefault="00587260" w:rsidP="00337A32">
      <w:pPr>
        <w:ind w:left="720"/>
        <w:jc w:val="both"/>
        <w:rPr>
          <w:rFonts w:asciiTheme="minorHAnsi" w:hAnsiTheme="minorHAnsi" w:cstheme="minorHAnsi"/>
        </w:rPr>
      </w:pPr>
      <w:r w:rsidRPr="002A5026">
        <w:rPr>
          <w:rFonts w:asciiTheme="minorHAnsi" w:hAnsiTheme="minorHAnsi" w:cstheme="minorHAnsi"/>
        </w:rPr>
        <w:t>4.1</w:t>
      </w:r>
      <w:r w:rsidRPr="002A5026">
        <w:rPr>
          <w:rFonts w:asciiTheme="minorHAnsi" w:hAnsiTheme="minorHAnsi" w:cstheme="minorHAnsi"/>
        </w:rPr>
        <w:tab/>
        <w:t>Packaging</w:t>
      </w:r>
      <w:r w:rsidR="00260596" w:rsidRPr="002A5026">
        <w:rPr>
          <w:rFonts w:asciiTheme="minorHAnsi" w:hAnsiTheme="minorHAnsi" w:cstheme="minorHAnsi"/>
        </w:rPr>
        <w:t xml:space="preserve"> Batteries </w:t>
      </w:r>
      <w:r w:rsidRPr="002A5026">
        <w:rPr>
          <w:rFonts w:asciiTheme="minorHAnsi" w:hAnsiTheme="minorHAnsi" w:cstheme="minorHAnsi"/>
        </w:rPr>
        <w:t xml:space="preserve">– when a </w:t>
      </w:r>
      <w:r w:rsidR="00260596" w:rsidRPr="002A5026">
        <w:rPr>
          <w:rFonts w:asciiTheme="minorHAnsi" w:hAnsiTheme="minorHAnsi" w:cstheme="minorHAnsi"/>
        </w:rPr>
        <w:t>battery i</w:t>
      </w:r>
      <w:r w:rsidRPr="002A5026">
        <w:rPr>
          <w:rFonts w:asciiTheme="minorHAnsi" w:hAnsiTheme="minorHAnsi" w:cstheme="minorHAnsi"/>
        </w:rPr>
        <w:t xml:space="preserve">s removed from service, the </w:t>
      </w:r>
      <w:r w:rsidR="00260596" w:rsidRPr="002A5026">
        <w:rPr>
          <w:rFonts w:asciiTheme="minorHAnsi" w:hAnsiTheme="minorHAnsi" w:cstheme="minorHAnsi"/>
        </w:rPr>
        <w:t>battery</w:t>
      </w:r>
      <w:r w:rsidRPr="002A5026">
        <w:rPr>
          <w:rFonts w:asciiTheme="minorHAnsi" w:hAnsiTheme="minorHAnsi" w:cstheme="minorHAnsi"/>
        </w:rPr>
        <w:t xml:space="preserve"> must </w:t>
      </w:r>
      <w:r w:rsidR="00260596" w:rsidRPr="002A5026">
        <w:rPr>
          <w:rFonts w:asciiTheme="minorHAnsi" w:hAnsiTheme="minorHAnsi" w:cstheme="minorHAnsi"/>
        </w:rPr>
        <w:t xml:space="preserve">have the terminals protected </w:t>
      </w:r>
      <w:r w:rsidRPr="002A5026">
        <w:rPr>
          <w:rFonts w:asciiTheme="minorHAnsi" w:hAnsiTheme="minorHAnsi" w:cstheme="minorHAnsi"/>
        </w:rPr>
        <w:t xml:space="preserve">to prevent </w:t>
      </w:r>
      <w:r w:rsidR="00260596" w:rsidRPr="002A5026">
        <w:rPr>
          <w:rFonts w:asciiTheme="minorHAnsi" w:hAnsiTheme="minorHAnsi" w:cstheme="minorHAnsi"/>
        </w:rPr>
        <w:t>short circuiting</w:t>
      </w:r>
      <w:r w:rsidRPr="002A5026">
        <w:rPr>
          <w:rFonts w:asciiTheme="minorHAnsi" w:hAnsiTheme="minorHAnsi" w:cstheme="minorHAnsi"/>
        </w:rPr>
        <w:t>.  The pr</w:t>
      </w:r>
      <w:r w:rsidR="00260596" w:rsidRPr="002A5026">
        <w:rPr>
          <w:rFonts w:asciiTheme="minorHAnsi" w:hAnsiTheme="minorHAnsi" w:cstheme="minorHAnsi"/>
        </w:rPr>
        <w:t>otection of the terminals can be done using any of the following methods</w:t>
      </w:r>
      <w:r w:rsidRPr="002A5026">
        <w:rPr>
          <w:rFonts w:asciiTheme="minorHAnsi" w:hAnsiTheme="minorHAnsi" w:cstheme="minorHAnsi"/>
        </w:rPr>
        <w:t>:</w:t>
      </w:r>
    </w:p>
    <w:p w14:paraId="10BC1B66" w14:textId="12382A27" w:rsidR="00587260" w:rsidRPr="002A5026" w:rsidRDefault="00587260" w:rsidP="00EE7F55">
      <w:pPr>
        <w:ind w:left="720"/>
        <w:jc w:val="both"/>
        <w:rPr>
          <w:rFonts w:asciiTheme="minorHAnsi" w:hAnsiTheme="minorHAnsi" w:cstheme="minorHAnsi"/>
        </w:rPr>
      </w:pPr>
    </w:p>
    <w:p w14:paraId="0FB5DDD5" w14:textId="5086BD51" w:rsidR="00587260" w:rsidRPr="002A5026" w:rsidRDefault="00260596" w:rsidP="00587260">
      <w:pPr>
        <w:pStyle w:val="ListParagraph"/>
        <w:numPr>
          <w:ilvl w:val="0"/>
          <w:numId w:val="5"/>
        </w:numPr>
        <w:ind w:left="1800"/>
        <w:jc w:val="both"/>
        <w:rPr>
          <w:rFonts w:asciiTheme="minorHAnsi" w:hAnsiTheme="minorHAnsi" w:cstheme="minorHAnsi"/>
        </w:rPr>
      </w:pPr>
      <w:r w:rsidRPr="002A5026">
        <w:rPr>
          <w:rFonts w:asciiTheme="minorHAnsi" w:hAnsiTheme="minorHAnsi" w:cstheme="minorHAnsi"/>
        </w:rPr>
        <w:t xml:space="preserve">Taping of the terminals, use clear tape so as not to cover battery </w:t>
      </w:r>
      <w:r w:rsidR="00B04C16">
        <w:rPr>
          <w:rFonts w:asciiTheme="minorHAnsi" w:hAnsiTheme="minorHAnsi" w:cstheme="minorHAnsi"/>
        </w:rPr>
        <w:t>markings and information.</w:t>
      </w:r>
      <w:r w:rsidR="00B04C16" w:rsidRPr="002A5026">
        <w:rPr>
          <w:rFonts w:asciiTheme="minorHAnsi" w:hAnsiTheme="minorHAnsi" w:cstheme="minorHAnsi"/>
        </w:rPr>
        <w:t xml:space="preserve"> </w:t>
      </w:r>
    </w:p>
    <w:p w14:paraId="1800E331" w14:textId="77777777" w:rsidR="0033133F" w:rsidRDefault="00260596" w:rsidP="0033133F">
      <w:pPr>
        <w:pStyle w:val="ListParagraph"/>
        <w:numPr>
          <w:ilvl w:val="0"/>
          <w:numId w:val="5"/>
        </w:numPr>
        <w:ind w:left="1800"/>
        <w:jc w:val="both"/>
        <w:rPr>
          <w:rFonts w:asciiTheme="minorHAnsi" w:hAnsiTheme="minorHAnsi" w:cstheme="minorHAnsi"/>
        </w:rPr>
      </w:pPr>
      <w:r w:rsidRPr="002A5026">
        <w:rPr>
          <w:rFonts w:asciiTheme="minorHAnsi" w:hAnsiTheme="minorHAnsi" w:cstheme="minorHAnsi"/>
        </w:rPr>
        <w:t xml:space="preserve">Place individual battery into a clear plastic bag and seal.  </w:t>
      </w:r>
    </w:p>
    <w:p w14:paraId="4A5B97AB" w14:textId="77777777" w:rsidR="0033133F" w:rsidRDefault="0033133F" w:rsidP="0033133F">
      <w:pPr>
        <w:pStyle w:val="ListParagraph"/>
        <w:ind w:left="1800"/>
        <w:jc w:val="both"/>
        <w:rPr>
          <w:rFonts w:asciiTheme="minorHAnsi" w:hAnsiTheme="minorHAnsi" w:cstheme="minorHAnsi"/>
        </w:rPr>
      </w:pPr>
    </w:p>
    <w:p w14:paraId="7D6D916B" w14:textId="7201D021" w:rsidR="00870DDD" w:rsidRPr="002A5026" w:rsidRDefault="0033133F" w:rsidP="0033133F">
      <w:pPr>
        <w:ind w:left="720"/>
        <w:jc w:val="both"/>
        <w:rPr>
          <w:rFonts w:asciiTheme="minorHAnsi" w:hAnsiTheme="minorHAnsi" w:cstheme="minorHAnsi"/>
        </w:rPr>
      </w:pPr>
      <w:r w:rsidRPr="006D5582">
        <w:rPr>
          <w:rFonts w:asciiTheme="minorHAnsi" w:hAnsiTheme="minorHAnsi" w:cstheme="minorHAnsi"/>
        </w:rPr>
        <w:lastRenderedPageBreak/>
        <w:t xml:space="preserve">If large quantities of batteries are being generated for disposal, a secondary container may be used to </w:t>
      </w:r>
      <w:r w:rsidRPr="0033133F">
        <w:rPr>
          <w:rFonts w:asciiTheme="minorHAnsi" w:hAnsiTheme="minorHAnsi" w:cstheme="minorHAnsi"/>
        </w:rPr>
        <w:t>consolidate</w:t>
      </w:r>
      <w:r w:rsidRPr="006D5582">
        <w:rPr>
          <w:rFonts w:asciiTheme="minorHAnsi" w:hAnsiTheme="minorHAnsi" w:cstheme="minorHAnsi"/>
        </w:rPr>
        <w:t xml:space="preserve"> the individually packaged batteries into one accumulation area. </w:t>
      </w:r>
      <w:r>
        <w:rPr>
          <w:rFonts w:asciiTheme="minorHAnsi" w:hAnsiTheme="minorHAnsi" w:cstheme="minorHAnsi"/>
        </w:rPr>
        <w:t>Batteries accumulated in secondary containers</w:t>
      </w:r>
      <w:r w:rsidR="00587260" w:rsidRPr="002A5026">
        <w:rPr>
          <w:rFonts w:asciiTheme="minorHAnsi" w:hAnsiTheme="minorHAnsi" w:cstheme="minorHAnsi"/>
        </w:rPr>
        <w:t xml:space="preserve"> must</w:t>
      </w:r>
      <w:r w:rsidR="00870DDD" w:rsidRPr="002A5026">
        <w:rPr>
          <w:rFonts w:asciiTheme="minorHAnsi" w:hAnsiTheme="minorHAnsi" w:cstheme="minorHAnsi"/>
        </w:rPr>
        <w:t xml:space="preserve"> meet the following criteria:</w:t>
      </w:r>
    </w:p>
    <w:p w14:paraId="522B26E4" w14:textId="77777777" w:rsidR="00870DDD" w:rsidRPr="002A5026" w:rsidRDefault="00870DDD" w:rsidP="00587260">
      <w:pPr>
        <w:ind w:left="720"/>
        <w:jc w:val="both"/>
        <w:rPr>
          <w:rFonts w:asciiTheme="minorHAnsi" w:hAnsiTheme="minorHAnsi" w:cstheme="minorHAnsi"/>
        </w:rPr>
      </w:pPr>
    </w:p>
    <w:p w14:paraId="37D128D4" w14:textId="5E853674" w:rsidR="00C868D4" w:rsidRDefault="00C868D4" w:rsidP="00870DDD">
      <w:pPr>
        <w:pStyle w:val="ListParagraph"/>
        <w:numPr>
          <w:ilvl w:val="0"/>
          <w:numId w:val="6"/>
        </w:numPr>
        <w:ind w:left="1800"/>
        <w:jc w:val="both"/>
        <w:rPr>
          <w:rFonts w:asciiTheme="minorHAnsi" w:hAnsiTheme="minorHAnsi" w:cstheme="minorHAnsi"/>
        </w:rPr>
      </w:pPr>
      <w:r>
        <w:rPr>
          <w:rFonts w:asciiTheme="minorHAnsi" w:hAnsiTheme="minorHAnsi" w:cstheme="minorHAnsi"/>
        </w:rPr>
        <w:t xml:space="preserve">UN rated polyethylene drum (1H) </w:t>
      </w:r>
    </w:p>
    <w:p w14:paraId="7BC32B2D" w14:textId="11C9585F" w:rsidR="00587260" w:rsidRPr="002A5026" w:rsidRDefault="00870DDD" w:rsidP="00870DDD">
      <w:pPr>
        <w:pStyle w:val="ListParagraph"/>
        <w:numPr>
          <w:ilvl w:val="0"/>
          <w:numId w:val="6"/>
        </w:numPr>
        <w:ind w:left="1800"/>
        <w:jc w:val="both"/>
        <w:rPr>
          <w:rFonts w:asciiTheme="minorHAnsi" w:hAnsiTheme="minorHAnsi" w:cstheme="minorHAnsi"/>
        </w:rPr>
      </w:pPr>
      <w:r w:rsidRPr="002A5026">
        <w:rPr>
          <w:rFonts w:asciiTheme="minorHAnsi" w:hAnsiTheme="minorHAnsi" w:cstheme="minorHAnsi"/>
        </w:rPr>
        <w:t>Closed when no</w:t>
      </w:r>
      <w:r w:rsidR="002A5026">
        <w:rPr>
          <w:rFonts w:asciiTheme="minorHAnsi" w:hAnsiTheme="minorHAnsi" w:cstheme="minorHAnsi"/>
        </w:rPr>
        <w:t>t</w:t>
      </w:r>
      <w:r w:rsidR="00587260" w:rsidRPr="002A5026">
        <w:rPr>
          <w:rFonts w:asciiTheme="minorHAnsi" w:hAnsiTheme="minorHAnsi" w:cstheme="minorHAnsi"/>
        </w:rPr>
        <w:t xml:space="preserve"> adding </w:t>
      </w:r>
      <w:r w:rsidR="00260596" w:rsidRPr="002A5026">
        <w:rPr>
          <w:rFonts w:asciiTheme="minorHAnsi" w:hAnsiTheme="minorHAnsi" w:cstheme="minorHAnsi"/>
        </w:rPr>
        <w:t>batteries</w:t>
      </w:r>
      <w:r w:rsidRPr="002A5026">
        <w:rPr>
          <w:rFonts w:asciiTheme="minorHAnsi" w:hAnsiTheme="minorHAnsi" w:cstheme="minorHAnsi"/>
        </w:rPr>
        <w:t xml:space="preserve"> to the container</w:t>
      </w:r>
    </w:p>
    <w:p w14:paraId="789CD0B2" w14:textId="02B51614" w:rsidR="00870DDD" w:rsidRPr="002A5026" w:rsidRDefault="00870DDD" w:rsidP="00870DDD">
      <w:pPr>
        <w:pStyle w:val="ListParagraph"/>
        <w:numPr>
          <w:ilvl w:val="0"/>
          <w:numId w:val="6"/>
        </w:numPr>
        <w:ind w:left="1800"/>
        <w:jc w:val="both"/>
        <w:rPr>
          <w:rFonts w:asciiTheme="minorHAnsi" w:hAnsiTheme="minorHAnsi" w:cstheme="minorHAnsi"/>
        </w:rPr>
      </w:pPr>
      <w:r w:rsidRPr="002A5026">
        <w:rPr>
          <w:rFonts w:asciiTheme="minorHAnsi" w:hAnsiTheme="minorHAnsi" w:cstheme="minorHAnsi"/>
        </w:rPr>
        <w:t>Stored in a dry location and not exposed to the weather</w:t>
      </w:r>
    </w:p>
    <w:p w14:paraId="781CA25A" w14:textId="42EA4FF1" w:rsidR="00870DDD" w:rsidRPr="002A5026" w:rsidRDefault="00260596" w:rsidP="00870DDD">
      <w:pPr>
        <w:pStyle w:val="ListParagraph"/>
        <w:numPr>
          <w:ilvl w:val="0"/>
          <w:numId w:val="6"/>
        </w:numPr>
        <w:ind w:left="1800"/>
        <w:jc w:val="both"/>
        <w:rPr>
          <w:rFonts w:asciiTheme="minorHAnsi" w:hAnsiTheme="minorHAnsi" w:cstheme="minorHAnsi"/>
        </w:rPr>
      </w:pPr>
      <w:r w:rsidRPr="002A5026">
        <w:rPr>
          <w:rFonts w:asciiTheme="minorHAnsi" w:hAnsiTheme="minorHAnsi" w:cstheme="minorHAnsi"/>
        </w:rPr>
        <w:t>Batteries</w:t>
      </w:r>
      <w:r w:rsidR="00A335B5" w:rsidRPr="002A5026">
        <w:rPr>
          <w:rFonts w:asciiTheme="minorHAnsi" w:hAnsiTheme="minorHAnsi" w:cstheme="minorHAnsi"/>
        </w:rPr>
        <w:t xml:space="preserve"> should not be taped together prior to placing in the container</w:t>
      </w:r>
    </w:p>
    <w:p w14:paraId="46C68974" w14:textId="4A9A8590" w:rsidR="00A335B5" w:rsidRDefault="00A335B5" w:rsidP="00870DDD">
      <w:pPr>
        <w:pStyle w:val="ListParagraph"/>
        <w:numPr>
          <w:ilvl w:val="0"/>
          <w:numId w:val="6"/>
        </w:numPr>
        <w:ind w:left="1800"/>
        <w:jc w:val="both"/>
        <w:rPr>
          <w:rFonts w:asciiTheme="minorHAnsi" w:hAnsiTheme="minorHAnsi" w:cstheme="minorHAnsi"/>
        </w:rPr>
      </w:pPr>
      <w:r w:rsidRPr="002A5026">
        <w:rPr>
          <w:rFonts w:asciiTheme="minorHAnsi" w:hAnsiTheme="minorHAnsi" w:cstheme="minorHAnsi"/>
        </w:rPr>
        <w:t xml:space="preserve">Different types of </w:t>
      </w:r>
      <w:r w:rsidR="00260596" w:rsidRPr="002A5026">
        <w:rPr>
          <w:rFonts w:asciiTheme="minorHAnsi" w:hAnsiTheme="minorHAnsi" w:cstheme="minorHAnsi"/>
        </w:rPr>
        <w:t>batteries</w:t>
      </w:r>
      <w:r w:rsidRPr="002A5026">
        <w:rPr>
          <w:rFonts w:asciiTheme="minorHAnsi" w:hAnsiTheme="minorHAnsi" w:cstheme="minorHAnsi"/>
        </w:rPr>
        <w:t xml:space="preserve"> should be </w:t>
      </w:r>
      <w:r w:rsidR="002A5026">
        <w:rPr>
          <w:rFonts w:asciiTheme="minorHAnsi" w:hAnsiTheme="minorHAnsi" w:cstheme="minorHAnsi"/>
        </w:rPr>
        <w:t xml:space="preserve">placed </w:t>
      </w:r>
      <w:r w:rsidRPr="002A5026">
        <w:rPr>
          <w:rFonts w:asciiTheme="minorHAnsi" w:hAnsiTheme="minorHAnsi" w:cstheme="minorHAnsi"/>
        </w:rPr>
        <w:t>in different collection containers</w:t>
      </w:r>
    </w:p>
    <w:p w14:paraId="2502BDA8" w14:textId="7FC8F288" w:rsidR="0033133F" w:rsidRPr="002A5026" w:rsidRDefault="0033133F" w:rsidP="00870DDD">
      <w:pPr>
        <w:pStyle w:val="ListParagraph"/>
        <w:numPr>
          <w:ilvl w:val="0"/>
          <w:numId w:val="6"/>
        </w:numPr>
        <w:ind w:left="1800"/>
        <w:jc w:val="both"/>
        <w:rPr>
          <w:rFonts w:asciiTheme="minorHAnsi" w:hAnsiTheme="minorHAnsi" w:cstheme="minorHAnsi"/>
        </w:rPr>
      </w:pPr>
      <w:r>
        <w:rPr>
          <w:rFonts w:asciiTheme="minorHAnsi" w:hAnsiTheme="minorHAnsi" w:cstheme="minorHAnsi"/>
        </w:rPr>
        <w:t>Accumulation date shall not exceed 1 year from the start.</w:t>
      </w:r>
    </w:p>
    <w:p w14:paraId="32D7A416" w14:textId="208A2EEC" w:rsidR="00337A32" w:rsidRPr="002A5026" w:rsidRDefault="00337A32" w:rsidP="00337A32">
      <w:pPr>
        <w:jc w:val="both"/>
        <w:rPr>
          <w:rFonts w:asciiTheme="minorHAnsi" w:hAnsiTheme="minorHAnsi" w:cstheme="minorHAnsi"/>
        </w:rPr>
      </w:pPr>
    </w:p>
    <w:p w14:paraId="7036CEA0" w14:textId="0BA4E15E" w:rsidR="00337A32" w:rsidRPr="002A5026" w:rsidRDefault="00337A32" w:rsidP="002A5026">
      <w:pPr>
        <w:ind w:left="720"/>
        <w:jc w:val="both"/>
        <w:rPr>
          <w:rFonts w:asciiTheme="minorHAnsi" w:hAnsiTheme="minorHAnsi" w:cstheme="minorHAnsi"/>
        </w:rPr>
      </w:pPr>
      <w:r w:rsidRPr="002A5026">
        <w:rPr>
          <w:rFonts w:asciiTheme="minorHAnsi" w:hAnsiTheme="minorHAnsi" w:cstheme="minorHAnsi"/>
        </w:rPr>
        <w:t>Never place a broken</w:t>
      </w:r>
      <w:r w:rsidR="00C868D4">
        <w:rPr>
          <w:rFonts w:asciiTheme="minorHAnsi" w:hAnsiTheme="minorHAnsi" w:cstheme="minorHAnsi"/>
        </w:rPr>
        <w:t xml:space="preserve"> or damaged</w:t>
      </w:r>
      <w:r w:rsidRPr="002A5026">
        <w:rPr>
          <w:rFonts w:asciiTheme="minorHAnsi" w:hAnsiTheme="minorHAnsi" w:cstheme="minorHAnsi"/>
        </w:rPr>
        <w:t xml:space="preserve"> </w:t>
      </w:r>
      <w:r w:rsidR="00260596" w:rsidRPr="002A5026">
        <w:rPr>
          <w:rFonts w:asciiTheme="minorHAnsi" w:hAnsiTheme="minorHAnsi" w:cstheme="minorHAnsi"/>
        </w:rPr>
        <w:t>battery</w:t>
      </w:r>
      <w:r w:rsidRPr="002A5026">
        <w:rPr>
          <w:rFonts w:asciiTheme="minorHAnsi" w:hAnsiTheme="minorHAnsi" w:cstheme="minorHAnsi"/>
        </w:rPr>
        <w:t xml:space="preserve"> in the standard </w:t>
      </w:r>
      <w:r w:rsidR="00260596" w:rsidRPr="002A5026">
        <w:rPr>
          <w:rFonts w:asciiTheme="minorHAnsi" w:hAnsiTheme="minorHAnsi" w:cstheme="minorHAnsi"/>
        </w:rPr>
        <w:t>battery</w:t>
      </w:r>
      <w:r w:rsidRPr="002A5026">
        <w:rPr>
          <w:rFonts w:asciiTheme="minorHAnsi" w:hAnsiTheme="minorHAnsi" w:cstheme="minorHAnsi"/>
        </w:rPr>
        <w:t xml:space="preserve"> collection container – all broken</w:t>
      </w:r>
      <w:r w:rsidR="00C868D4">
        <w:rPr>
          <w:rFonts w:asciiTheme="minorHAnsi" w:hAnsiTheme="minorHAnsi" w:cstheme="minorHAnsi"/>
        </w:rPr>
        <w:t xml:space="preserve"> and damaged</w:t>
      </w:r>
      <w:r w:rsidRPr="002A5026">
        <w:rPr>
          <w:rFonts w:asciiTheme="minorHAnsi" w:hAnsiTheme="minorHAnsi" w:cstheme="minorHAnsi"/>
        </w:rPr>
        <w:t xml:space="preserve"> </w:t>
      </w:r>
      <w:r w:rsidR="00260596" w:rsidRPr="002A5026">
        <w:rPr>
          <w:rFonts w:asciiTheme="minorHAnsi" w:hAnsiTheme="minorHAnsi" w:cstheme="minorHAnsi"/>
        </w:rPr>
        <w:t>batteries</w:t>
      </w:r>
      <w:r w:rsidRPr="002A5026">
        <w:rPr>
          <w:rFonts w:asciiTheme="minorHAnsi" w:hAnsiTheme="minorHAnsi" w:cstheme="minorHAnsi"/>
        </w:rPr>
        <w:t xml:space="preserve"> should be collected in a separate container.</w:t>
      </w:r>
    </w:p>
    <w:p w14:paraId="08C4B261" w14:textId="6DDDD61D" w:rsidR="00A335B5" w:rsidRPr="002A5026" w:rsidRDefault="00A335B5" w:rsidP="00A335B5">
      <w:pPr>
        <w:jc w:val="both"/>
        <w:rPr>
          <w:rFonts w:asciiTheme="minorHAnsi" w:hAnsiTheme="minorHAnsi" w:cstheme="minorHAnsi"/>
        </w:rPr>
      </w:pPr>
    </w:p>
    <w:p w14:paraId="59A049E5" w14:textId="0EA37C3A" w:rsidR="00337A32" w:rsidRPr="002A5026" w:rsidRDefault="00337A32" w:rsidP="00337A32">
      <w:pPr>
        <w:ind w:left="720"/>
        <w:jc w:val="both"/>
        <w:rPr>
          <w:rFonts w:asciiTheme="minorHAnsi" w:hAnsiTheme="minorHAnsi" w:cstheme="minorHAnsi"/>
        </w:rPr>
      </w:pPr>
      <w:r w:rsidRPr="002A5026">
        <w:rPr>
          <w:rFonts w:asciiTheme="minorHAnsi" w:hAnsiTheme="minorHAnsi" w:cstheme="minorHAnsi"/>
        </w:rPr>
        <w:t>4.2</w:t>
      </w:r>
      <w:r w:rsidRPr="002A5026">
        <w:rPr>
          <w:rFonts w:asciiTheme="minorHAnsi" w:hAnsiTheme="minorHAnsi" w:cstheme="minorHAnsi"/>
        </w:rPr>
        <w:tab/>
        <w:t xml:space="preserve">Labeling </w:t>
      </w:r>
      <w:r w:rsidR="00260596" w:rsidRPr="002A5026">
        <w:rPr>
          <w:rFonts w:asciiTheme="minorHAnsi" w:hAnsiTheme="minorHAnsi" w:cstheme="minorHAnsi"/>
        </w:rPr>
        <w:t>Battery</w:t>
      </w:r>
      <w:r w:rsidRPr="002A5026">
        <w:rPr>
          <w:rFonts w:asciiTheme="minorHAnsi" w:hAnsiTheme="minorHAnsi" w:cstheme="minorHAnsi"/>
        </w:rPr>
        <w:t xml:space="preserve"> Containers – once a container is being used to collect </w:t>
      </w:r>
      <w:r w:rsidR="00260596" w:rsidRPr="002A5026">
        <w:rPr>
          <w:rFonts w:asciiTheme="minorHAnsi" w:hAnsiTheme="minorHAnsi" w:cstheme="minorHAnsi"/>
        </w:rPr>
        <w:t>batteries</w:t>
      </w:r>
      <w:r w:rsidRPr="002A5026">
        <w:rPr>
          <w:rFonts w:asciiTheme="minorHAnsi" w:hAnsiTheme="minorHAnsi" w:cstheme="minorHAnsi"/>
        </w:rPr>
        <w:t xml:space="preserve">, proper labeling is required to be placed on the container.  All containers collecting </w:t>
      </w:r>
      <w:r w:rsidR="00260596" w:rsidRPr="002A5026">
        <w:rPr>
          <w:rFonts w:asciiTheme="minorHAnsi" w:hAnsiTheme="minorHAnsi" w:cstheme="minorHAnsi"/>
        </w:rPr>
        <w:t>batteries</w:t>
      </w:r>
      <w:r w:rsidRPr="002A5026">
        <w:rPr>
          <w:rFonts w:asciiTheme="minorHAnsi" w:hAnsiTheme="minorHAnsi" w:cstheme="minorHAnsi"/>
        </w:rPr>
        <w:t xml:space="preserve"> must contain the following information:</w:t>
      </w:r>
    </w:p>
    <w:p w14:paraId="2653FFF6" w14:textId="77777777" w:rsidR="00337A32" w:rsidRPr="002A5026" w:rsidRDefault="00337A32" w:rsidP="00337A32">
      <w:pPr>
        <w:ind w:left="720"/>
        <w:jc w:val="both"/>
        <w:rPr>
          <w:rFonts w:asciiTheme="minorHAnsi" w:hAnsiTheme="minorHAnsi" w:cstheme="minorHAnsi"/>
        </w:rPr>
      </w:pPr>
    </w:p>
    <w:p w14:paraId="357DCB20" w14:textId="53C9FAFA" w:rsidR="00337A32" w:rsidRPr="002A5026" w:rsidRDefault="00337A32" w:rsidP="00337A32">
      <w:pPr>
        <w:pStyle w:val="ListParagraph"/>
        <w:numPr>
          <w:ilvl w:val="0"/>
          <w:numId w:val="6"/>
        </w:numPr>
        <w:ind w:left="1800"/>
        <w:jc w:val="both"/>
        <w:rPr>
          <w:rFonts w:asciiTheme="minorHAnsi" w:hAnsiTheme="minorHAnsi" w:cstheme="minorHAnsi"/>
        </w:rPr>
      </w:pPr>
      <w:r w:rsidRPr="002A5026">
        <w:rPr>
          <w:rFonts w:asciiTheme="minorHAnsi" w:hAnsiTheme="minorHAnsi" w:cstheme="minorHAnsi"/>
        </w:rPr>
        <w:t xml:space="preserve">“Universal Waste – </w:t>
      </w:r>
      <w:r w:rsidR="00260596" w:rsidRPr="002A5026">
        <w:rPr>
          <w:rFonts w:asciiTheme="minorHAnsi" w:hAnsiTheme="minorHAnsi" w:cstheme="minorHAnsi"/>
        </w:rPr>
        <w:t>Batteries</w:t>
      </w:r>
      <w:r w:rsidRPr="002A5026">
        <w:rPr>
          <w:rFonts w:asciiTheme="minorHAnsi" w:hAnsiTheme="minorHAnsi" w:cstheme="minorHAnsi"/>
        </w:rPr>
        <w:t>”</w:t>
      </w:r>
    </w:p>
    <w:p w14:paraId="35E64A2A" w14:textId="657990C4" w:rsidR="00337A32" w:rsidRPr="002A5026" w:rsidRDefault="00337A32" w:rsidP="00337A32">
      <w:pPr>
        <w:pStyle w:val="ListParagraph"/>
        <w:numPr>
          <w:ilvl w:val="0"/>
          <w:numId w:val="6"/>
        </w:numPr>
        <w:ind w:left="1800"/>
        <w:jc w:val="both"/>
        <w:rPr>
          <w:rFonts w:asciiTheme="minorHAnsi" w:hAnsiTheme="minorHAnsi" w:cstheme="minorHAnsi"/>
        </w:rPr>
      </w:pPr>
      <w:r w:rsidRPr="002A5026">
        <w:rPr>
          <w:rFonts w:asciiTheme="minorHAnsi" w:hAnsiTheme="minorHAnsi" w:cstheme="minorHAnsi"/>
        </w:rPr>
        <w:t xml:space="preserve">Type of </w:t>
      </w:r>
      <w:r w:rsidR="00260596" w:rsidRPr="002A5026">
        <w:rPr>
          <w:rFonts w:asciiTheme="minorHAnsi" w:hAnsiTheme="minorHAnsi" w:cstheme="minorHAnsi"/>
        </w:rPr>
        <w:t>batteries</w:t>
      </w:r>
      <w:r w:rsidRPr="002A5026">
        <w:rPr>
          <w:rFonts w:asciiTheme="minorHAnsi" w:hAnsiTheme="minorHAnsi" w:cstheme="minorHAnsi"/>
        </w:rPr>
        <w:t xml:space="preserve"> stored in the container</w:t>
      </w:r>
    </w:p>
    <w:p w14:paraId="5EB8084B" w14:textId="435AF6C4" w:rsidR="00337A32" w:rsidRPr="002A5026" w:rsidRDefault="00337A32" w:rsidP="00337A32">
      <w:pPr>
        <w:pStyle w:val="ListParagraph"/>
        <w:numPr>
          <w:ilvl w:val="0"/>
          <w:numId w:val="6"/>
        </w:numPr>
        <w:ind w:left="1800"/>
        <w:jc w:val="both"/>
        <w:rPr>
          <w:rFonts w:asciiTheme="minorHAnsi" w:hAnsiTheme="minorHAnsi" w:cstheme="minorHAnsi"/>
        </w:rPr>
      </w:pPr>
      <w:r w:rsidRPr="002A5026">
        <w:rPr>
          <w:rFonts w:asciiTheme="minorHAnsi" w:hAnsiTheme="minorHAnsi" w:cstheme="minorHAnsi"/>
        </w:rPr>
        <w:t xml:space="preserve">Accumulation start date (date the first </w:t>
      </w:r>
      <w:r w:rsidR="00260596" w:rsidRPr="002A5026">
        <w:rPr>
          <w:rFonts w:asciiTheme="minorHAnsi" w:hAnsiTheme="minorHAnsi" w:cstheme="minorHAnsi"/>
        </w:rPr>
        <w:t>battery</w:t>
      </w:r>
      <w:r w:rsidRPr="002A5026">
        <w:rPr>
          <w:rFonts w:asciiTheme="minorHAnsi" w:hAnsiTheme="minorHAnsi" w:cstheme="minorHAnsi"/>
        </w:rPr>
        <w:t xml:space="preserve"> was placed in the container)</w:t>
      </w:r>
    </w:p>
    <w:p w14:paraId="552319AF" w14:textId="4F1B72BD" w:rsidR="00337A32" w:rsidRPr="002A5026" w:rsidRDefault="00337A32" w:rsidP="00337A32">
      <w:pPr>
        <w:pStyle w:val="ListParagraph"/>
        <w:numPr>
          <w:ilvl w:val="0"/>
          <w:numId w:val="6"/>
        </w:numPr>
        <w:ind w:left="1800"/>
        <w:jc w:val="both"/>
        <w:rPr>
          <w:rFonts w:asciiTheme="minorHAnsi" w:hAnsiTheme="minorHAnsi" w:cstheme="minorHAnsi"/>
        </w:rPr>
      </w:pPr>
      <w:r w:rsidRPr="002A5026">
        <w:rPr>
          <w:rFonts w:asciiTheme="minorHAnsi" w:hAnsiTheme="minorHAnsi" w:cstheme="minorHAnsi"/>
        </w:rPr>
        <w:t xml:space="preserve">Generator name (individual </w:t>
      </w:r>
      <w:r w:rsidR="00DC772F" w:rsidRPr="002A5026">
        <w:rPr>
          <w:rFonts w:asciiTheme="minorHAnsi" w:hAnsiTheme="minorHAnsi" w:cstheme="minorHAnsi"/>
        </w:rPr>
        <w:t xml:space="preserve">placing </w:t>
      </w:r>
      <w:r w:rsidR="00260596" w:rsidRPr="002A5026">
        <w:rPr>
          <w:rFonts w:asciiTheme="minorHAnsi" w:hAnsiTheme="minorHAnsi" w:cstheme="minorHAnsi"/>
        </w:rPr>
        <w:t>battery</w:t>
      </w:r>
      <w:r w:rsidR="00DC772F" w:rsidRPr="002A5026">
        <w:rPr>
          <w:rFonts w:asciiTheme="minorHAnsi" w:hAnsiTheme="minorHAnsi" w:cstheme="minorHAnsi"/>
        </w:rPr>
        <w:t xml:space="preserve"> into container)</w:t>
      </w:r>
    </w:p>
    <w:p w14:paraId="2BE22D35" w14:textId="7CF195D7" w:rsidR="00DC772F" w:rsidRPr="006D5582" w:rsidRDefault="00DC772F" w:rsidP="00337A32">
      <w:pPr>
        <w:pStyle w:val="ListParagraph"/>
        <w:numPr>
          <w:ilvl w:val="0"/>
          <w:numId w:val="6"/>
        </w:numPr>
        <w:ind w:left="1800"/>
        <w:jc w:val="both"/>
        <w:rPr>
          <w:rFonts w:asciiTheme="minorHAnsi" w:hAnsiTheme="minorHAnsi" w:cstheme="minorHAnsi"/>
        </w:rPr>
      </w:pPr>
      <w:r w:rsidRPr="006D5582">
        <w:rPr>
          <w:rFonts w:asciiTheme="minorHAnsi" w:hAnsiTheme="minorHAnsi" w:cstheme="minorHAnsi"/>
        </w:rPr>
        <w:t>Building name</w:t>
      </w:r>
      <w:r w:rsidR="006D5582" w:rsidRPr="006D5582">
        <w:rPr>
          <w:rFonts w:asciiTheme="minorHAnsi" w:hAnsiTheme="minorHAnsi" w:cstheme="minorHAnsi"/>
        </w:rPr>
        <w:t xml:space="preserve"> or storage location</w:t>
      </w:r>
    </w:p>
    <w:p w14:paraId="0DC1C7D8" w14:textId="5E1C6B8E" w:rsidR="00DC772F" w:rsidRPr="002A5026" w:rsidRDefault="00DC772F" w:rsidP="00DC772F">
      <w:pPr>
        <w:ind w:left="720"/>
        <w:jc w:val="both"/>
        <w:rPr>
          <w:rFonts w:asciiTheme="minorHAnsi" w:hAnsiTheme="minorHAnsi" w:cstheme="minorHAnsi"/>
        </w:rPr>
      </w:pPr>
    </w:p>
    <w:p w14:paraId="0357085F" w14:textId="758BEF5A" w:rsidR="00DC772F" w:rsidRPr="002A5026" w:rsidRDefault="00DC772F" w:rsidP="001A456C">
      <w:pPr>
        <w:ind w:left="720"/>
        <w:jc w:val="both"/>
        <w:rPr>
          <w:rFonts w:asciiTheme="minorHAnsi" w:hAnsiTheme="minorHAnsi" w:cstheme="minorHAnsi"/>
        </w:rPr>
      </w:pPr>
      <w:r w:rsidRPr="002A5026">
        <w:rPr>
          <w:rFonts w:asciiTheme="minorHAnsi" w:hAnsiTheme="minorHAnsi" w:cstheme="minorHAnsi"/>
        </w:rPr>
        <w:t>4.3</w:t>
      </w:r>
      <w:r w:rsidRPr="002A5026">
        <w:rPr>
          <w:rFonts w:asciiTheme="minorHAnsi" w:hAnsiTheme="minorHAnsi" w:cstheme="minorHAnsi"/>
        </w:rPr>
        <w:tab/>
        <w:t xml:space="preserve">Transporting Full </w:t>
      </w:r>
      <w:r w:rsidR="00260596" w:rsidRPr="002A5026">
        <w:rPr>
          <w:rFonts w:asciiTheme="minorHAnsi" w:hAnsiTheme="minorHAnsi" w:cstheme="minorHAnsi"/>
        </w:rPr>
        <w:t>Battery</w:t>
      </w:r>
      <w:r w:rsidRPr="002A5026">
        <w:rPr>
          <w:rFonts w:asciiTheme="minorHAnsi" w:hAnsiTheme="minorHAnsi" w:cstheme="minorHAnsi"/>
        </w:rPr>
        <w:t xml:space="preserve"> Containers – there is a central accumulation point for full containers to be stored prior to shipping them off-site for proper disposal.  </w:t>
      </w:r>
      <w:r w:rsidR="001A456C">
        <w:rPr>
          <w:rFonts w:asciiTheme="minorHAnsi" w:hAnsiTheme="minorHAnsi" w:cstheme="minorHAnsi"/>
        </w:rPr>
        <w:t>For University Park, a stan</w:t>
      </w:r>
      <w:r w:rsidRPr="002A5026">
        <w:rPr>
          <w:rFonts w:asciiTheme="minorHAnsi" w:hAnsiTheme="minorHAnsi" w:cstheme="minorHAnsi"/>
        </w:rPr>
        <w:t xml:space="preserve">dard waste pickup request form </w:t>
      </w:r>
      <w:r w:rsidR="00600E2B">
        <w:rPr>
          <w:rFonts w:asciiTheme="minorHAnsi" w:hAnsiTheme="minorHAnsi" w:cstheme="minorHAnsi"/>
        </w:rPr>
        <w:t xml:space="preserve">(Chemical Waste) </w:t>
      </w:r>
      <w:r w:rsidRPr="002A5026">
        <w:rPr>
          <w:rFonts w:asciiTheme="minorHAnsi" w:hAnsiTheme="minorHAnsi" w:cstheme="minorHAnsi"/>
        </w:rPr>
        <w:t xml:space="preserve">must be submitted for </w:t>
      </w:r>
      <w:r w:rsidR="00260596" w:rsidRPr="002A5026">
        <w:rPr>
          <w:rFonts w:asciiTheme="minorHAnsi" w:hAnsiTheme="minorHAnsi" w:cstheme="minorHAnsi"/>
        </w:rPr>
        <w:t>battery</w:t>
      </w:r>
      <w:r w:rsidRPr="002A5026">
        <w:rPr>
          <w:rFonts w:asciiTheme="minorHAnsi" w:hAnsiTheme="minorHAnsi" w:cstheme="minorHAnsi"/>
        </w:rPr>
        <w:t xml:space="preserve"> disposal</w:t>
      </w:r>
      <w:r w:rsidR="001A456C">
        <w:rPr>
          <w:rFonts w:asciiTheme="minorHAnsi" w:hAnsiTheme="minorHAnsi" w:cstheme="minorHAnsi"/>
        </w:rPr>
        <w:t xml:space="preserve"> to move them to the accumulation location (</w:t>
      </w:r>
      <w:r w:rsidR="001A456C" w:rsidRPr="006A7E54">
        <w:rPr>
          <w:rFonts w:asciiTheme="minorHAnsi" w:hAnsiTheme="minorHAnsi" w:cstheme="minorHAnsi"/>
        </w:rPr>
        <w:t xml:space="preserve">EHS Webpage - Waste Disposal link: </w:t>
      </w:r>
      <w:hyperlink r:id="rId9" w:history="1">
        <w:r w:rsidR="001A456C" w:rsidRPr="006A7E54">
          <w:rPr>
            <w:rStyle w:val="Hyperlink"/>
            <w:rFonts w:asciiTheme="minorHAnsi" w:hAnsiTheme="minorHAnsi" w:cstheme="minorHAnsi"/>
          </w:rPr>
          <w:t>https://ehs.psu.edu/waste-disposal</w:t>
        </w:r>
      </w:hyperlink>
      <w:r w:rsidR="001A456C">
        <w:rPr>
          <w:rFonts w:asciiTheme="minorHAnsi" w:hAnsiTheme="minorHAnsi" w:cstheme="minorHAnsi"/>
        </w:rPr>
        <w:t>).  For campus locations, please work with the appropriate site contacts in maintenance.</w:t>
      </w:r>
    </w:p>
    <w:p w14:paraId="1A1C26C8" w14:textId="77777777" w:rsidR="00DC772F" w:rsidRPr="002A5026" w:rsidRDefault="00DC772F" w:rsidP="00DC772F">
      <w:pPr>
        <w:ind w:left="720"/>
        <w:jc w:val="both"/>
        <w:rPr>
          <w:rFonts w:asciiTheme="minorHAnsi" w:hAnsiTheme="minorHAnsi" w:cstheme="minorHAnsi"/>
        </w:rPr>
      </w:pPr>
    </w:p>
    <w:p w14:paraId="59897345" w14:textId="0E12F44A" w:rsidR="00DC772F" w:rsidRPr="002A5026" w:rsidRDefault="00DC772F" w:rsidP="00DC772F">
      <w:pPr>
        <w:ind w:left="720"/>
        <w:jc w:val="both"/>
        <w:rPr>
          <w:rFonts w:asciiTheme="minorHAnsi" w:hAnsiTheme="minorHAnsi" w:cstheme="minorHAnsi"/>
        </w:rPr>
      </w:pPr>
      <w:r w:rsidRPr="002A5026">
        <w:rPr>
          <w:rFonts w:asciiTheme="minorHAnsi" w:hAnsiTheme="minorHAnsi" w:cstheme="minorHAnsi"/>
        </w:rPr>
        <w:t>In certain situations, off-site disposal may be direct from the generator location</w:t>
      </w:r>
      <w:r w:rsidR="00904FE9">
        <w:rPr>
          <w:rFonts w:asciiTheme="minorHAnsi" w:hAnsiTheme="minorHAnsi" w:cstheme="minorHAnsi"/>
        </w:rPr>
        <w:t xml:space="preserve"> with EHS pre-approval.</w:t>
      </w:r>
      <w:r w:rsidR="00153C8E">
        <w:rPr>
          <w:rFonts w:asciiTheme="minorHAnsi" w:hAnsiTheme="minorHAnsi" w:cstheme="minorHAnsi"/>
        </w:rPr>
        <w:t xml:space="preserve">  </w:t>
      </w:r>
      <w:r w:rsidRPr="002A5026">
        <w:rPr>
          <w:rFonts w:asciiTheme="minorHAnsi" w:hAnsiTheme="minorHAnsi" w:cstheme="minorHAnsi"/>
        </w:rPr>
        <w:t>There are specific paperwork requirements for this type of activity and all shipments must be coordinated through EHS.</w:t>
      </w:r>
    </w:p>
    <w:p w14:paraId="6E22056A" w14:textId="2A3693A4" w:rsidR="00DC772F" w:rsidRPr="002A5026" w:rsidRDefault="00DC772F" w:rsidP="00DC772F">
      <w:pPr>
        <w:ind w:left="720"/>
        <w:jc w:val="both"/>
        <w:rPr>
          <w:rFonts w:asciiTheme="minorHAnsi" w:hAnsiTheme="minorHAnsi" w:cstheme="minorHAnsi"/>
        </w:rPr>
      </w:pPr>
    </w:p>
    <w:p w14:paraId="0ACAD638" w14:textId="732539DF" w:rsidR="00DC772F" w:rsidRDefault="00DC772F" w:rsidP="00DC772F">
      <w:pPr>
        <w:ind w:left="720"/>
        <w:jc w:val="both"/>
        <w:rPr>
          <w:rFonts w:asciiTheme="minorHAnsi" w:hAnsiTheme="minorHAnsi" w:cstheme="minorHAnsi"/>
          <w:b/>
          <w:bCs/>
          <w:color w:val="0070C0"/>
        </w:rPr>
      </w:pPr>
      <w:r w:rsidRPr="002A5026">
        <w:rPr>
          <w:rFonts w:asciiTheme="minorHAnsi" w:hAnsiTheme="minorHAnsi" w:cstheme="minorHAnsi"/>
          <w:b/>
          <w:bCs/>
          <w:color w:val="0070C0"/>
        </w:rPr>
        <w:t xml:space="preserve">Note – EHS will not </w:t>
      </w:r>
      <w:proofErr w:type="spellStart"/>
      <w:r w:rsidRPr="002A5026">
        <w:rPr>
          <w:rFonts w:asciiTheme="minorHAnsi" w:hAnsiTheme="minorHAnsi" w:cstheme="minorHAnsi"/>
          <w:b/>
          <w:bCs/>
          <w:color w:val="0070C0"/>
        </w:rPr>
        <w:t>pickup</w:t>
      </w:r>
      <w:proofErr w:type="spellEnd"/>
      <w:r w:rsidRPr="002A5026">
        <w:rPr>
          <w:rFonts w:asciiTheme="minorHAnsi" w:hAnsiTheme="minorHAnsi" w:cstheme="minorHAnsi"/>
          <w:b/>
          <w:bCs/>
          <w:color w:val="0070C0"/>
        </w:rPr>
        <w:t xml:space="preserve"> or accept </w:t>
      </w:r>
      <w:r w:rsidR="00260596" w:rsidRPr="002A5026">
        <w:rPr>
          <w:rFonts w:asciiTheme="minorHAnsi" w:hAnsiTheme="minorHAnsi" w:cstheme="minorHAnsi"/>
          <w:b/>
          <w:bCs/>
          <w:color w:val="0070C0"/>
        </w:rPr>
        <w:t>batteries</w:t>
      </w:r>
      <w:r w:rsidRPr="002A5026">
        <w:rPr>
          <w:rFonts w:asciiTheme="minorHAnsi" w:hAnsiTheme="minorHAnsi" w:cstheme="minorHAnsi"/>
          <w:b/>
          <w:bCs/>
          <w:color w:val="0070C0"/>
        </w:rPr>
        <w:t xml:space="preserve"> that are not properly packaged or labeled.  It is the responsibility of the group generating the </w:t>
      </w:r>
      <w:r w:rsidR="00260596" w:rsidRPr="002A5026">
        <w:rPr>
          <w:rFonts w:asciiTheme="minorHAnsi" w:hAnsiTheme="minorHAnsi" w:cstheme="minorHAnsi"/>
          <w:b/>
          <w:bCs/>
          <w:color w:val="0070C0"/>
        </w:rPr>
        <w:t>batteries</w:t>
      </w:r>
      <w:r w:rsidRPr="002A5026">
        <w:rPr>
          <w:rFonts w:asciiTheme="minorHAnsi" w:hAnsiTheme="minorHAnsi" w:cstheme="minorHAnsi"/>
          <w:b/>
          <w:bCs/>
          <w:color w:val="0070C0"/>
        </w:rPr>
        <w:t xml:space="preserve"> to verify that the containers are in proper condition for transportation.</w:t>
      </w:r>
    </w:p>
    <w:p w14:paraId="4F636309" w14:textId="7F8F44EC" w:rsidR="00EE7F55" w:rsidRPr="002A5026" w:rsidRDefault="00EE7F55" w:rsidP="001A456C">
      <w:pPr>
        <w:jc w:val="both"/>
        <w:rPr>
          <w:rFonts w:asciiTheme="minorHAnsi" w:hAnsiTheme="minorHAnsi" w:cstheme="minorHAnsi"/>
        </w:rPr>
      </w:pPr>
    </w:p>
    <w:p w14:paraId="5B1F00FB" w14:textId="18E89326" w:rsidR="00412D62" w:rsidRDefault="00BE272D" w:rsidP="001A456C">
      <w:pPr>
        <w:ind w:left="720"/>
        <w:jc w:val="both"/>
        <w:rPr>
          <w:rFonts w:asciiTheme="minorHAnsi" w:hAnsiTheme="minorHAnsi" w:cstheme="minorHAnsi"/>
        </w:rPr>
      </w:pPr>
      <w:r w:rsidRPr="002A5026">
        <w:rPr>
          <w:rFonts w:asciiTheme="minorHAnsi" w:hAnsiTheme="minorHAnsi" w:cstheme="minorHAnsi"/>
        </w:rPr>
        <w:t>4.4</w:t>
      </w:r>
      <w:r w:rsidRPr="002A5026">
        <w:rPr>
          <w:rFonts w:asciiTheme="minorHAnsi" w:hAnsiTheme="minorHAnsi" w:cstheme="minorHAnsi"/>
        </w:rPr>
        <w:tab/>
      </w:r>
      <w:r w:rsidR="00260596" w:rsidRPr="002A5026">
        <w:rPr>
          <w:rFonts w:asciiTheme="minorHAnsi" w:hAnsiTheme="minorHAnsi" w:cstheme="minorHAnsi"/>
        </w:rPr>
        <w:t>Battery</w:t>
      </w:r>
      <w:r w:rsidRPr="002A5026">
        <w:rPr>
          <w:rFonts w:asciiTheme="minorHAnsi" w:hAnsiTheme="minorHAnsi" w:cstheme="minorHAnsi"/>
        </w:rPr>
        <w:t xml:space="preserve"> Disposal – </w:t>
      </w:r>
      <w:r w:rsidR="001A456C">
        <w:rPr>
          <w:rFonts w:asciiTheme="minorHAnsi" w:hAnsiTheme="minorHAnsi" w:cstheme="minorHAnsi"/>
        </w:rPr>
        <w:t xml:space="preserve">Off-site shipment of recyclable batteries is regulated and must comply with the Universal Waste regulations.  In addition to the labeling requirement noted in Section 4.2, it includes the use of proper shipping papers (Bill of Lading).  These shipping papers must be prepared prior to shipment by the vendor or EHS and meet the following requirements:  </w:t>
      </w:r>
    </w:p>
    <w:p w14:paraId="0FC435EF" w14:textId="77777777" w:rsidR="001A456C" w:rsidRPr="006A7E54" w:rsidRDefault="001A456C" w:rsidP="001A456C">
      <w:pPr>
        <w:ind w:left="720"/>
        <w:jc w:val="both"/>
        <w:rPr>
          <w:rFonts w:asciiTheme="minorHAnsi" w:hAnsiTheme="minorHAnsi" w:cstheme="minorHAnsi"/>
        </w:rPr>
      </w:pPr>
    </w:p>
    <w:p w14:paraId="7555D2A2" w14:textId="77777777" w:rsidR="001A456C" w:rsidRPr="006A7E54" w:rsidRDefault="001A456C" w:rsidP="001A456C">
      <w:pPr>
        <w:pStyle w:val="ListParagraph"/>
        <w:numPr>
          <w:ilvl w:val="0"/>
          <w:numId w:val="6"/>
        </w:numPr>
        <w:ind w:left="1800"/>
        <w:jc w:val="both"/>
        <w:rPr>
          <w:rFonts w:asciiTheme="minorHAnsi" w:hAnsiTheme="minorHAnsi" w:cstheme="minorHAnsi"/>
        </w:rPr>
      </w:pPr>
      <w:r w:rsidRPr="006A7E54">
        <w:rPr>
          <w:rFonts w:asciiTheme="minorHAnsi" w:hAnsiTheme="minorHAnsi" w:cstheme="minorHAnsi"/>
        </w:rPr>
        <w:t>Must include DOT proper shipping name and number of containers &amp; weights</w:t>
      </w:r>
    </w:p>
    <w:p w14:paraId="787E959F" w14:textId="77777777" w:rsidR="001A456C" w:rsidRPr="006A7E54" w:rsidRDefault="001A456C" w:rsidP="001A456C">
      <w:pPr>
        <w:pStyle w:val="ListParagraph"/>
        <w:numPr>
          <w:ilvl w:val="0"/>
          <w:numId w:val="6"/>
        </w:numPr>
        <w:ind w:left="1800"/>
        <w:jc w:val="both"/>
        <w:rPr>
          <w:rFonts w:asciiTheme="minorHAnsi" w:hAnsiTheme="minorHAnsi" w:cstheme="minorHAnsi"/>
        </w:rPr>
      </w:pPr>
      <w:r w:rsidRPr="006A7E54">
        <w:rPr>
          <w:rFonts w:asciiTheme="minorHAnsi" w:hAnsiTheme="minorHAnsi" w:cstheme="minorHAnsi"/>
        </w:rPr>
        <w:t>Only signed by trained individuals</w:t>
      </w:r>
    </w:p>
    <w:p w14:paraId="2B3EEFDF" w14:textId="77777777" w:rsidR="001A456C" w:rsidRPr="006A7E54" w:rsidRDefault="001A456C" w:rsidP="001A456C">
      <w:pPr>
        <w:pStyle w:val="ListParagraph"/>
        <w:numPr>
          <w:ilvl w:val="0"/>
          <w:numId w:val="6"/>
        </w:numPr>
        <w:ind w:left="1800"/>
        <w:jc w:val="both"/>
        <w:rPr>
          <w:rFonts w:asciiTheme="minorHAnsi" w:hAnsiTheme="minorHAnsi" w:cstheme="minorHAnsi"/>
        </w:rPr>
      </w:pPr>
      <w:r w:rsidRPr="006A7E54">
        <w:rPr>
          <w:rFonts w:asciiTheme="minorHAnsi" w:hAnsiTheme="minorHAnsi" w:cstheme="minorHAnsi"/>
        </w:rPr>
        <w:t>Copy of completed Bill of Lading must be forwarded to EHS</w:t>
      </w:r>
    </w:p>
    <w:p w14:paraId="28850246" w14:textId="77777777" w:rsidR="001A456C" w:rsidRDefault="001A456C" w:rsidP="001A456C">
      <w:pPr>
        <w:ind w:left="720"/>
        <w:jc w:val="both"/>
        <w:rPr>
          <w:rFonts w:asciiTheme="minorHAnsi" w:hAnsiTheme="minorHAnsi" w:cstheme="minorHAnsi"/>
        </w:rPr>
      </w:pPr>
    </w:p>
    <w:p w14:paraId="11B4FD1E" w14:textId="54FE3953" w:rsidR="001A456C" w:rsidRPr="00CF1C22" w:rsidRDefault="001A456C" w:rsidP="001A456C">
      <w:pPr>
        <w:ind w:left="720"/>
        <w:jc w:val="both"/>
        <w:rPr>
          <w:rFonts w:asciiTheme="minorHAnsi" w:hAnsiTheme="minorHAnsi" w:cstheme="minorHAnsi"/>
        </w:rPr>
      </w:pPr>
      <w:r w:rsidRPr="006A7E54">
        <w:rPr>
          <w:rFonts w:asciiTheme="minorHAnsi" w:hAnsiTheme="minorHAnsi" w:cstheme="minorHAnsi"/>
        </w:rPr>
        <w:t xml:space="preserve">Arrangements for proper </w:t>
      </w:r>
      <w:r>
        <w:rPr>
          <w:rFonts w:asciiTheme="minorHAnsi" w:hAnsiTheme="minorHAnsi" w:cstheme="minorHAnsi"/>
        </w:rPr>
        <w:t>battery</w:t>
      </w:r>
      <w:r w:rsidRPr="006A7E54">
        <w:rPr>
          <w:rFonts w:asciiTheme="minorHAnsi" w:hAnsiTheme="minorHAnsi" w:cstheme="minorHAnsi"/>
        </w:rPr>
        <w:t xml:space="preserve"> disposal must be coordinated through EHS.  To begin this process </w:t>
      </w:r>
      <w:r>
        <w:rPr>
          <w:rFonts w:asciiTheme="minorHAnsi" w:hAnsiTheme="minorHAnsi" w:cstheme="minorHAnsi"/>
        </w:rPr>
        <w:t xml:space="preserve">at University Park, </w:t>
      </w:r>
      <w:r w:rsidRPr="006A7E54">
        <w:rPr>
          <w:rFonts w:asciiTheme="minorHAnsi" w:hAnsiTheme="minorHAnsi" w:cstheme="minorHAnsi"/>
        </w:rPr>
        <w:t xml:space="preserve">pickup requests must be submitted through the standard waste pickup process (ref. 4.3).  </w:t>
      </w:r>
      <w:r>
        <w:rPr>
          <w:rFonts w:asciiTheme="minorHAnsi" w:hAnsiTheme="minorHAnsi" w:cstheme="minorHAnsi"/>
        </w:rPr>
        <w:lastRenderedPageBreak/>
        <w:t xml:space="preserve">For campus locations, please contact your Regional EHS Coordinator for the disposal of Universal Waste </w:t>
      </w:r>
      <w:r w:rsidR="00490C61">
        <w:rPr>
          <w:rFonts w:asciiTheme="minorHAnsi" w:hAnsiTheme="minorHAnsi" w:cstheme="minorHAnsi"/>
        </w:rPr>
        <w:t>batteries</w:t>
      </w:r>
      <w:r>
        <w:rPr>
          <w:rFonts w:asciiTheme="minorHAnsi" w:hAnsiTheme="minorHAnsi" w:cstheme="minorHAnsi"/>
        </w:rPr>
        <w:t>.</w:t>
      </w:r>
    </w:p>
    <w:p w14:paraId="4F3718EE" w14:textId="6F001187" w:rsidR="001A456C" w:rsidRDefault="001A456C" w:rsidP="001A456C">
      <w:pPr>
        <w:ind w:left="720"/>
        <w:jc w:val="both"/>
        <w:rPr>
          <w:rFonts w:asciiTheme="minorHAnsi" w:hAnsiTheme="minorHAnsi" w:cstheme="minorHAnsi"/>
        </w:rPr>
      </w:pPr>
    </w:p>
    <w:p w14:paraId="45C1BF03" w14:textId="440577C6" w:rsidR="001A456C" w:rsidRPr="002A5026" w:rsidRDefault="001A456C" w:rsidP="001A456C">
      <w:pPr>
        <w:ind w:left="720"/>
        <w:jc w:val="both"/>
        <w:rPr>
          <w:rFonts w:asciiTheme="minorHAnsi" w:hAnsiTheme="minorHAnsi" w:cstheme="minorHAnsi"/>
        </w:rPr>
      </w:pPr>
      <w:r>
        <w:rPr>
          <w:rFonts w:asciiTheme="minorHAnsi" w:hAnsiTheme="minorHAnsi" w:cstheme="minorHAnsi"/>
        </w:rPr>
        <w:t>T</w:t>
      </w:r>
      <w:r w:rsidRPr="002A5026">
        <w:rPr>
          <w:rFonts w:asciiTheme="minorHAnsi" w:hAnsiTheme="minorHAnsi" w:cstheme="minorHAnsi"/>
        </w:rPr>
        <w:t xml:space="preserve">he shipment of </w:t>
      </w:r>
      <w:r w:rsidR="00600E2B">
        <w:rPr>
          <w:rFonts w:asciiTheme="minorHAnsi" w:hAnsiTheme="minorHAnsi" w:cstheme="minorHAnsi"/>
        </w:rPr>
        <w:t>U</w:t>
      </w:r>
      <w:r>
        <w:rPr>
          <w:rFonts w:asciiTheme="minorHAnsi" w:hAnsiTheme="minorHAnsi" w:cstheme="minorHAnsi"/>
        </w:rPr>
        <w:t xml:space="preserve">niversal </w:t>
      </w:r>
      <w:r w:rsidR="00600E2B">
        <w:rPr>
          <w:rFonts w:asciiTheme="minorHAnsi" w:hAnsiTheme="minorHAnsi" w:cstheme="minorHAnsi"/>
        </w:rPr>
        <w:t>W</w:t>
      </w:r>
      <w:r>
        <w:rPr>
          <w:rFonts w:asciiTheme="minorHAnsi" w:hAnsiTheme="minorHAnsi" w:cstheme="minorHAnsi"/>
        </w:rPr>
        <w:t xml:space="preserve">aste </w:t>
      </w:r>
      <w:r w:rsidRPr="002A5026">
        <w:rPr>
          <w:rFonts w:asciiTheme="minorHAnsi" w:hAnsiTheme="minorHAnsi" w:cstheme="minorHAnsi"/>
        </w:rPr>
        <w:t>batteries is regulated</w:t>
      </w:r>
      <w:r>
        <w:rPr>
          <w:rFonts w:asciiTheme="minorHAnsi" w:hAnsiTheme="minorHAnsi" w:cstheme="minorHAnsi"/>
        </w:rPr>
        <w:t xml:space="preserve"> by DOT</w:t>
      </w:r>
      <w:r w:rsidR="00600E2B">
        <w:rPr>
          <w:rFonts w:asciiTheme="minorHAnsi" w:hAnsiTheme="minorHAnsi" w:cstheme="minorHAnsi"/>
        </w:rPr>
        <w:t>;</w:t>
      </w:r>
      <w:r>
        <w:rPr>
          <w:rFonts w:asciiTheme="minorHAnsi" w:hAnsiTheme="minorHAnsi" w:cstheme="minorHAnsi"/>
        </w:rPr>
        <w:t xml:space="preserve"> therefore,</w:t>
      </w:r>
      <w:r w:rsidRPr="002A5026">
        <w:rPr>
          <w:rFonts w:asciiTheme="minorHAnsi" w:hAnsiTheme="minorHAnsi" w:cstheme="minorHAnsi"/>
        </w:rPr>
        <w:t xml:space="preserve"> </w:t>
      </w:r>
      <w:r>
        <w:rPr>
          <w:rFonts w:asciiTheme="minorHAnsi" w:hAnsiTheme="minorHAnsi" w:cstheme="minorHAnsi"/>
        </w:rPr>
        <w:t xml:space="preserve">retention of these shipping papers must be kept </w:t>
      </w:r>
      <w:r w:rsidR="00600E2B">
        <w:rPr>
          <w:rFonts w:asciiTheme="minorHAnsi" w:hAnsiTheme="minorHAnsi" w:cstheme="minorHAnsi"/>
        </w:rPr>
        <w:t>on-site</w:t>
      </w:r>
      <w:r>
        <w:rPr>
          <w:rFonts w:asciiTheme="minorHAnsi" w:hAnsiTheme="minorHAnsi" w:cstheme="minorHAnsi"/>
        </w:rPr>
        <w:t xml:space="preserve"> for </w:t>
      </w:r>
      <w:r w:rsidR="00676A5D">
        <w:rPr>
          <w:rFonts w:asciiTheme="minorHAnsi" w:hAnsiTheme="minorHAnsi" w:cstheme="minorHAnsi"/>
        </w:rPr>
        <w:t>three (</w:t>
      </w:r>
      <w:r>
        <w:rPr>
          <w:rFonts w:asciiTheme="minorHAnsi" w:hAnsiTheme="minorHAnsi" w:cstheme="minorHAnsi"/>
        </w:rPr>
        <w:t>3</w:t>
      </w:r>
      <w:r w:rsidR="00676A5D">
        <w:rPr>
          <w:rFonts w:asciiTheme="minorHAnsi" w:hAnsiTheme="minorHAnsi" w:cstheme="minorHAnsi"/>
        </w:rPr>
        <w:t>)</w:t>
      </w:r>
      <w:r>
        <w:rPr>
          <w:rFonts w:asciiTheme="minorHAnsi" w:hAnsiTheme="minorHAnsi" w:cstheme="minorHAnsi"/>
        </w:rPr>
        <w:t xml:space="preserve"> years in accordance with DOT regulations. </w:t>
      </w:r>
    </w:p>
    <w:p w14:paraId="70AD5C7B" w14:textId="77777777" w:rsidR="001A456C" w:rsidRPr="00961037" w:rsidRDefault="001A456C" w:rsidP="001A456C">
      <w:pPr>
        <w:ind w:left="720"/>
        <w:jc w:val="both"/>
        <w:rPr>
          <w:rFonts w:asciiTheme="minorHAnsi" w:hAnsiTheme="minorHAnsi" w:cstheme="minorHAnsi"/>
        </w:rPr>
      </w:pPr>
    </w:p>
    <w:sectPr w:rsidR="001A456C" w:rsidRPr="00961037" w:rsidSect="00B54961">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8FA41" w14:textId="77777777" w:rsidR="00427090" w:rsidRDefault="00427090" w:rsidP="00427090">
      <w:r>
        <w:separator/>
      </w:r>
    </w:p>
  </w:endnote>
  <w:endnote w:type="continuationSeparator" w:id="0">
    <w:p w14:paraId="03CB8894" w14:textId="77777777" w:rsidR="00427090" w:rsidRDefault="00427090" w:rsidP="0042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51D5" w14:textId="687B6AB5" w:rsidR="006503B2" w:rsidRPr="006503B2" w:rsidRDefault="006503B2" w:rsidP="006503B2">
    <w:pPr>
      <w:pStyle w:val="Footer"/>
      <w:pBdr>
        <w:top w:val="single" w:sz="4" w:space="1" w:color="auto"/>
      </w:pBdr>
      <w:rPr>
        <w:rFonts w:asciiTheme="majorHAnsi" w:eastAsiaTheme="majorEastAsia" w:hAnsiTheme="majorHAnsi" w:cstheme="majorBidi"/>
        <w:sz w:val="18"/>
      </w:rPr>
    </w:pPr>
    <w:r>
      <w:rPr>
        <w:rFonts w:asciiTheme="majorHAnsi" w:eastAsiaTheme="majorEastAsia" w:hAnsiTheme="majorHAnsi" w:cstheme="majorBidi"/>
        <w:sz w:val="18"/>
      </w:rPr>
      <w:t xml:space="preserve">Chemical Waste Management Plan – Attachment F: </w:t>
    </w:r>
    <w:r w:rsidR="00260596">
      <w:rPr>
        <w:rFonts w:asciiTheme="majorHAnsi" w:eastAsiaTheme="majorEastAsia" w:hAnsiTheme="majorHAnsi" w:cstheme="majorBidi"/>
        <w:sz w:val="18"/>
      </w:rPr>
      <w:t>Battery</w:t>
    </w:r>
    <w:r>
      <w:rPr>
        <w:rFonts w:asciiTheme="majorHAnsi" w:eastAsiaTheme="majorEastAsia" w:hAnsiTheme="majorHAnsi" w:cstheme="majorBidi"/>
        <w:sz w:val="18"/>
      </w:rPr>
      <w:t xml:space="preserve"> </w:t>
    </w:r>
    <w:r w:rsidRPr="00A63B17">
      <w:rPr>
        <w:rFonts w:asciiTheme="majorHAnsi" w:eastAsiaTheme="majorEastAsia" w:hAnsiTheme="majorHAnsi" w:cstheme="majorBidi"/>
        <w:sz w:val="18"/>
      </w:rPr>
      <w:t>(</w:t>
    </w:r>
    <w:r>
      <w:rPr>
        <w:rFonts w:asciiTheme="majorHAnsi" w:eastAsiaTheme="majorEastAsia" w:hAnsiTheme="majorHAnsi" w:cstheme="majorBidi"/>
        <w:sz w:val="18"/>
      </w:rPr>
      <w:t>EHS</w:t>
    </w:r>
    <w:r w:rsidRPr="00A63B17">
      <w:rPr>
        <w:rFonts w:asciiTheme="majorHAnsi" w:eastAsiaTheme="majorEastAsia" w:hAnsiTheme="majorHAnsi" w:cstheme="majorBidi"/>
        <w:sz w:val="18"/>
      </w:rPr>
      <w:t>-</w:t>
    </w:r>
    <w:r>
      <w:rPr>
        <w:rFonts w:asciiTheme="majorHAnsi" w:eastAsiaTheme="majorEastAsia" w:hAnsiTheme="majorHAnsi" w:cstheme="majorBidi"/>
        <w:sz w:val="18"/>
      </w:rPr>
      <w:t>0</w:t>
    </w:r>
    <w:r w:rsidRPr="00A63B17">
      <w:rPr>
        <w:rFonts w:asciiTheme="majorHAnsi" w:eastAsiaTheme="majorEastAsia" w:hAnsiTheme="majorHAnsi" w:cstheme="majorBidi"/>
        <w:sz w:val="18"/>
      </w:rPr>
      <w:t>0</w:t>
    </w:r>
    <w:r>
      <w:rPr>
        <w:rFonts w:asciiTheme="majorHAnsi" w:eastAsiaTheme="majorEastAsia" w:hAnsiTheme="majorHAnsi" w:cstheme="majorBidi"/>
        <w:sz w:val="18"/>
      </w:rPr>
      <w:t>26at</w:t>
    </w:r>
    <w:r w:rsidR="00153C8E">
      <w:rPr>
        <w:rFonts w:asciiTheme="majorHAnsi" w:eastAsiaTheme="majorEastAsia" w:hAnsiTheme="majorHAnsi" w:cstheme="majorBidi"/>
        <w:sz w:val="18"/>
      </w:rPr>
      <w:t>g</w:t>
    </w:r>
    <w:r w:rsidRPr="00A63B17">
      <w:rPr>
        <w:rFonts w:asciiTheme="majorHAnsi" w:eastAsiaTheme="majorEastAsia" w:hAnsiTheme="majorHAnsi" w:cstheme="majorBidi"/>
        <w:sz w:val="18"/>
      </w:rPr>
      <w:t>)</w:t>
    </w:r>
    <w:r>
      <w:rPr>
        <w:rFonts w:asciiTheme="majorHAnsi" w:eastAsiaTheme="majorEastAsia" w:hAnsiTheme="majorHAnsi" w:cstheme="majorBidi"/>
        <w:sz w:val="18"/>
      </w:rPr>
      <w:t xml:space="preserve"> </w:t>
    </w:r>
    <w:r w:rsidRPr="00A63B17">
      <w:rPr>
        <w:rFonts w:asciiTheme="majorHAnsi" w:eastAsiaTheme="majorEastAsia" w:hAnsiTheme="majorHAnsi" w:cstheme="majorBidi"/>
        <w:sz w:val="18"/>
      </w:rPr>
      <w:t xml:space="preserve">– </w:t>
    </w:r>
    <w:r w:rsidR="003359F5">
      <w:rPr>
        <w:rFonts w:asciiTheme="majorHAnsi" w:eastAsiaTheme="majorEastAsia" w:hAnsiTheme="majorHAnsi" w:cstheme="majorBidi"/>
        <w:sz w:val="18"/>
      </w:rPr>
      <w:t>01/04/2021</w:t>
    </w:r>
    <w:r w:rsidRPr="00A63B17">
      <w:rPr>
        <w:rFonts w:asciiTheme="majorHAnsi" w:eastAsiaTheme="majorEastAsia" w:hAnsiTheme="majorHAnsi" w:cstheme="majorBidi"/>
        <w:sz w:val="18"/>
      </w:rPr>
      <w:ptab w:relativeTo="margin" w:alignment="right" w:leader="none"/>
    </w:r>
    <w:r w:rsidRPr="00A63B17">
      <w:rPr>
        <w:rFonts w:asciiTheme="majorHAnsi" w:eastAsiaTheme="majorEastAsia" w:hAnsiTheme="majorHAnsi" w:cstheme="majorBidi"/>
        <w:sz w:val="18"/>
      </w:rPr>
      <w:t xml:space="preserve">Page </w:t>
    </w:r>
    <w:r w:rsidRPr="00A63B17">
      <w:rPr>
        <w:rFonts w:asciiTheme="minorHAnsi" w:eastAsiaTheme="minorEastAsia" w:hAnsiTheme="minorHAnsi" w:cstheme="minorBidi"/>
        <w:sz w:val="18"/>
      </w:rPr>
      <w:fldChar w:fldCharType="begin"/>
    </w:r>
    <w:r w:rsidRPr="00A63B17">
      <w:rPr>
        <w:sz w:val="18"/>
      </w:rPr>
      <w:instrText xml:space="preserve"> PAGE   \* MERGEFORMAT </w:instrText>
    </w:r>
    <w:r w:rsidRPr="00A63B17">
      <w:rPr>
        <w:rFonts w:asciiTheme="minorHAnsi" w:eastAsiaTheme="minorEastAsia" w:hAnsiTheme="minorHAnsi" w:cstheme="minorBidi"/>
        <w:sz w:val="18"/>
      </w:rPr>
      <w:fldChar w:fldCharType="separate"/>
    </w:r>
    <w:r>
      <w:rPr>
        <w:sz w:val="18"/>
      </w:rPr>
      <w:t>1</w:t>
    </w:r>
    <w:r w:rsidRPr="00A63B17">
      <w:rPr>
        <w:rFonts w:asciiTheme="majorHAnsi" w:eastAsiaTheme="majorEastAsia" w:hAnsiTheme="majorHAnsi" w:cstheme="majorBid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161AA" w14:textId="77777777" w:rsidR="00427090" w:rsidRDefault="00427090" w:rsidP="00427090">
      <w:r>
        <w:separator/>
      </w:r>
    </w:p>
  </w:footnote>
  <w:footnote w:type="continuationSeparator" w:id="0">
    <w:p w14:paraId="590AE2B5" w14:textId="77777777" w:rsidR="00427090" w:rsidRDefault="00427090" w:rsidP="00427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E7F5B"/>
    <w:multiLevelType w:val="hybridMultilevel"/>
    <w:tmpl w:val="846E05B4"/>
    <w:lvl w:ilvl="0" w:tplc="C9846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30AAA"/>
    <w:multiLevelType w:val="hybridMultilevel"/>
    <w:tmpl w:val="EBD01F0E"/>
    <w:lvl w:ilvl="0" w:tplc="933040B0">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5B2355"/>
    <w:multiLevelType w:val="hybridMultilevel"/>
    <w:tmpl w:val="5CD4A6F4"/>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3" w15:restartNumberingAfterBreak="0">
    <w:nsid w:val="59277286"/>
    <w:multiLevelType w:val="hybridMultilevel"/>
    <w:tmpl w:val="972E5C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D0A07A9"/>
    <w:multiLevelType w:val="multilevel"/>
    <w:tmpl w:val="ABF0A97A"/>
    <w:lvl w:ilvl="0">
      <w:start w:val="1"/>
      <w:numFmt w:val="decimal"/>
      <w:lvlText w:val="%1."/>
      <w:lvlJc w:val="left"/>
      <w:pPr>
        <w:tabs>
          <w:tab w:val="num" w:pos="360"/>
        </w:tabs>
        <w:ind w:left="360" w:hanging="360"/>
      </w:pPr>
      <w:rPr>
        <w:u w:val="none"/>
      </w:rPr>
    </w:lvl>
    <w:lvl w:ilvl="1">
      <w:start w:val="1"/>
      <w:numFmt w:val="decimal"/>
      <w:isLgl/>
      <w:lvlText w:val="%1.%2"/>
      <w:lvlJc w:val="left"/>
      <w:pPr>
        <w:ind w:left="1200" w:hanging="480"/>
      </w:pPr>
      <w:rPr>
        <w:rFonts w:hint="default"/>
        <w:u w:val="none"/>
      </w:rPr>
    </w:lvl>
    <w:lvl w:ilvl="2">
      <w:start w:val="1"/>
      <w:numFmt w:val="decimal"/>
      <w:isLgl/>
      <w:lvlText w:val="%1.%2.%3"/>
      <w:lvlJc w:val="left"/>
      <w:pPr>
        <w:ind w:left="2160" w:hanging="720"/>
      </w:pPr>
      <w:rPr>
        <w:rFonts w:hint="default"/>
        <w:u w:val="none"/>
      </w:rPr>
    </w:lvl>
    <w:lvl w:ilvl="3">
      <w:start w:val="1"/>
      <w:numFmt w:val="decimal"/>
      <w:isLgl/>
      <w:lvlText w:val="%1.%2.%3.%4"/>
      <w:lvlJc w:val="left"/>
      <w:pPr>
        <w:ind w:left="2880" w:hanging="720"/>
      </w:pPr>
      <w:rPr>
        <w:rFonts w:hint="default"/>
        <w:u w:val="none"/>
      </w:rPr>
    </w:lvl>
    <w:lvl w:ilvl="4">
      <w:start w:val="1"/>
      <w:numFmt w:val="decimal"/>
      <w:isLgl/>
      <w:lvlText w:val="%1.%2.%3.%4.%5"/>
      <w:lvlJc w:val="left"/>
      <w:pPr>
        <w:ind w:left="3960" w:hanging="1080"/>
      </w:pPr>
      <w:rPr>
        <w:rFonts w:hint="default"/>
        <w:u w:val="none"/>
      </w:rPr>
    </w:lvl>
    <w:lvl w:ilvl="5">
      <w:start w:val="1"/>
      <w:numFmt w:val="decimal"/>
      <w:isLgl/>
      <w:lvlText w:val="%1.%2.%3.%4.%5.%6"/>
      <w:lvlJc w:val="left"/>
      <w:pPr>
        <w:ind w:left="4680" w:hanging="1080"/>
      </w:pPr>
      <w:rPr>
        <w:rFonts w:hint="default"/>
        <w:u w:val="none"/>
      </w:rPr>
    </w:lvl>
    <w:lvl w:ilvl="6">
      <w:start w:val="1"/>
      <w:numFmt w:val="decimal"/>
      <w:isLgl/>
      <w:lvlText w:val="%1.%2.%3.%4.%5.%6.%7"/>
      <w:lvlJc w:val="left"/>
      <w:pPr>
        <w:ind w:left="5760" w:hanging="1440"/>
      </w:pPr>
      <w:rPr>
        <w:rFonts w:hint="default"/>
        <w:u w:val="none"/>
      </w:rPr>
    </w:lvl>
    <w:lvl w:ilvl="7">
      <w:start w:val="1"/>
      <w:numFmt w:val="decimal"/>
      <w:isLgl/>
      <w:lvlText w:val="%1.%2.%3.%4.%5.%6.%7.%8"/>
      <w:lvlJc w:val="left"/>
      <w:pPr>
        <w:ind w:left="6480" w:hanging="1440"/>
      </w:pPr>
      <w:rPr>
        <w:rFonts w:hint="default"/>
        <w:u w:val="none"/>
      </w:rPr>
    </w:lvl>
    <w:lvl w:ilvl="8">
      <w:start w:val="1"/>
      <w:numFmt w:val="decimal"/>
      <w:isLgl/>
      <w:lvlText w:val="%1.%2.%3.%4.%5.%6.%7.%8.%9"/>
      <w:lvlJc w:val="left"/>
      <w:pPr>
        <w:ind w:left="7560" w:hanging="1800"/>
      </w:pPr>
      <w:rPr>
        <w:rFonts w:hint="default"/>
        <w:u w:val="none"/>
      </w:rPr>
    </w:lvl>
  </w:abstractNum>
  <w:abstractNum w:abstractNumId="5" w15:restartNumberingAfterBreak="0">
    <w:nsid w:val="7A12491D"/>
    <w:multiLevelType w:val="hybridMultilevel"/>
    <w:tmpl w:val="846E05B4"/>
    <w:lvl w:ilvl="0" w:tplc="C9846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E4"/>
    <w:rsid w:val="000342B8"/>
    <w:rsid w:val="00053778"/>
    <w:rsid w:val="001169EA"/>
    <w:rsid w:val="0014530B"/>
    <w:rsid w:val="00153C8E"/>
    <w:rsid w:val="00161F9C"/>
    <w:rsid w:val="00173EB2"/>
    <w:rsid w:val="00181092"/>
    <w:rsid w:val="001A456C"/>
    <w:rsid w:val="001B1B83"/>
    <w:rsid w:val="001C7CC6"/>
    <w:rsid w:val="001E1EC5"/>
    <w:rsid w:val="001E3911"/>
    <w:rsid w:val="001E4671"/>
    <w:rsid w:val="00220A6E"/>
    <w:rsid w:val="00260596"/>
    <w:rsid w:val="00277989"/>
    <w:rsid w:val="00284B66"/>
    <w:rsid w:val="002A5026"/>
    <w:rsid w:val="002F619D"/>
    <w:rsid w:val="0033133F"/>
    <w:rsid w:val="003359F5"/>
    <w:rsid w:val="00337A32"/>
    <w:rsid w:val="003F6F92"/>
    <w:rsid w:val="00412D62"/>
    <w:rsid w:val="004160BE"/>
    <w:rsid w:val="00427090"/>
    <w:rsid w:val="00435441"/>
    <w:rsid w:val="00450C0E"/>
    <w:rsid w:val="00465DDC"/>
    <w:rsid w:val="0047164C"/>
    <w:rsid w:val="00474E49"/>
    <w:rsid w:val="00490C61"/>
    <w:rsid w:val="004A5B4F"/>
    <w:rsid w:val="004B5030"/>
    <w:rsid w:val="0051479C"/>
    <w:rsid w:val="00553427"/>
    <w:rsid w:val="00556B20"/>
    <w:rsid w:val="00563E35"/>
    <w:rsid w:val="00584AE0"/>
    <w:rsid w:val="00587260"/>
    <w:rsid w:val="005B6F4D"/>
    <w:rsid w:val="005D635F"/>
    <w:rsid w:val="005F20CA"/>
    <w:rsid w:val="005F7B37"/>
    <w:rsid w:val="00600E2B"/>
    <w:rsid w:val="00623EF8"/>
    <w:rsid w:val="006503B2"/>
    <w:rsid w:val="00657E78"/>
    <w:rsid w:val="00676A5D"/>
    <w:rsid w:val="00676DF7"/>
    <w:rsid w:val="006D5582"/>
    <w:rsid w:val="006E0CE7"/>
    <w:rsid w:val="006E0D3A"/>
    <w:rsid w:val="006E2DBD"/>
    <w:rsid w:val="006E4B0B"/>
    <w:rsid w:val="007942D3"/>
    <w:rsid w:val="0079503E"/>
    <w:rsid w:val="007B65F0"/>
    <w:rsid w:val="00824F07"/>
    <w:rsid w:val="00830D71"/>
    <w:rsid w:val="0086689F"/>
    <w:rsid w:val="00870DDD"/>
    <w:rsid w:val="0089769E"/>
    <w:rsid w:val="008B10FC"/>
    <w:rsid w:val="008F6394"/>
    <w:rsid w:val="00904FE9"/>
    <w:rsid w:val="009133E4"/>
    <w:rsid w:val="00916A24"/>
    <w:rsid w:val="00926C72"/>
    <w:rsid w:val="009530CB"/>
    <w:rsid w:val="00961037"/>
    <w:rsid w:val="00993931"/>
    <w:rsid w:val="009C75A9"/>
    <w:rsid w:val="009E1EAA"/>
    <w:rsid w:val="009E34BC"/>
    <w:rsid w:val="00A0332B"/>
    <w:rsid w:val="00A335B5"/>
    <w:rsid w:val="00A42808"/>
    <w:rsid w:val="00A60E7C"/>
    <w:rsid w:val="00A61F78"/>
    <w:rsid w:val="00A73839"/>
    <w:rsid w:val="00A94555"/>
    <w:rsid w:val="00AE1AAC"/>
    <w:rsid w:val="00B04C16"/>
    <w:rsid w:val="00B45CAD"/>
    <w:rsid w:val="00B54961"/>
    <w:rsid w:val="00B77EFC"/>
    <w:rsid w:val="00B82705"/>
    <w:rsid w:val="00B90C53"/>
    <w:rsid w:val="00BE272D"/>
    <w:rsid w:val="00C70017"/>
    <w:rsid w:val="00C868D4"/>
    <w:rsid w:val="00C86CE9"/>
    <w:rsid w:val="00C9091D"/>
    <w:rsid w:val="00CA15BB"/>
    <w:rsid w:val="00CD1E6D"/>
    <w:rsid w:val="00CD69E5"/>
    <w:rsid w:val="00D03C69"/>
    <w:rsid w:val="00D07893"/>
    <w:rsid w:val="00D31C7A"/>
    <w:rsid w:val="00D32149"/>
    <w:rsid w:val="00D53E65"/>
    <w:rsid w:val="00D82C40"/>
    <w:rsid w:val="00DB29D1"/>
    <w:rsid w:val="00DC772F"/>
    <w:rsid w:val="00E25319"/>
    <w:rsid w:val="00E37F44"/>
    <w:rsid w:val="00E51ABA"/>
    <w:rsid w:val="00E96B49"/>
    <w:rsid w:val="00ED2A21"/>
    <w:rsid w:val="00EE7F55"/>
    <w:rsid w:val="00F076F7"/>
    <w:rsid w:val="00F14606"/>
    <w:rsid w:val="00F31497"/>
    <w:rsid w:val="00F31BB6"/>
    <w:rsid w:val="00F42DD9"/>
    <w:rsid w:val="00F45BF2"/>
    <w:rsid w:val="00F46C17"/>
    <w:rsid w:val="00FA0DF4"/>
    <w:rsid w:val="00FA694F"/>
    <w:rsid w:val="00FA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4180"/>
  <w15:chartTrackingRefBased/>
  <w15:docId w15:val="{AE0D0FA8-565E-425F-9309-DE1A4572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2B8"/>
    <w:pPr>
      <w:keepNext/>
      <w:keepLines/>
      <w:spacing w:before="240"/>
      <w:jc w:val="left"/>
      <w:outlineLvl w:val="0"/>
    </w:pPr>
    <w:rPr>
      <w:rFonts w:asciiTheme="majorHAnsi" w:eastAsiaTheme="majorEastAsia" w:hAnsiTheme="majorHAns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0BE"/>
    <w:pPr>
      <w:ind w:left="720"/>
      <w:contextualSpacing/>
    </w:pPr>
  </w:style>
  <w:style w:type="table" w:styleId="TableGrid">
    <w:name w:val="Table Grid"/>
    <w:basedOn w:val="TableNormal"/>
    <w:uiPriority w:val="59"/>
    <w:rsid w:val="008F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3E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EB2"/>
    <w:rPr>
      <w:rFonts w:ascii="Segoe UI" w:hAnsi="Segoe UI" w:cs="Segoe UI"/>
      <w:sz w:val="18"/>
      <w:szCs w:val="18"/>
    </w:rPr>
  </w:style>
  <w:style w:type="paragraph" w:styleId="Header">
    <w:name w:val="header"/>
    <w:basedOn w:val="Normal"/>
    <w:link w:val="HeaderChar"/>
    <w:uiPriority w:val="99"/>
    <w:unhideWhenUsed/>
    <w:rsid w:val="00427090"/>
    <w:pPr>
      <w:tabs>
        <w:tab w:val="center" w:pos="4680"/>
        <w:tab w:val="right" w:pos="9360"/>
      </w:tabs>
    </w:pPr>
  </w:style>
  <w:style w:type="character" w:customStyle="1" w:styleId="HeaderChar">
    <w:name w:val="Header Char"/>
    <w:basedOn w:val="DefaultParagraphFont"/>
    <w:link w:val="Header"/>
    <w:uiPriority w:val="99"/>
    <w:rsid w:val="00427090"/>
  </w:style>
  <w:style w:type="paragraph" w:styleId="Footer">
    <w:name w:val="footer"/>
    <w:basedOn w:val="Normal"/>
    <w:link w:val="FooterChar"/>
    <w:uiPriority w:val="99"/>
    <w:unhideWhenUsed/>
    <w:rsid w:val="00427090"/>
    <w:pPr>
      <w:tabs>
        <w:tab w:val="center" w:pos="4680"/>
        <w:tab w:val="right" w:pos="9360"/>
      </w:tabs>
    </w:pPr>
  </w:style>
  <w:style w:type="character" w:customStyle="1" w:styleId="FooterChar">
    <w:name w:val="Footer Char"/>
    <w:basedOn w:val="DefaultParagraphFont"/>
    <w:link w:val="Footer"/>
    <w:uiPriority w:val="99"/>
    <w:rsid w:val="00427090"/>
  </w:style>
  <w:style w:type="paragraph" w:styleId="BodyText">
    <w:name w:val="Body Text"/>
    <w:basedOn w:val="Normal"/>
    <w:link w:val="BodyTextChar"/>
    <w:uiPriority w:val="1"/>
    <w:qFormat/>
    <w:rsid w:val="00F45BF2"/>
    <w:pPr>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F45BF2"/>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0342B8"/>
    <w:rPr>
      <w:rFonts w:asciiTheme="majorHAnsi" w:eastAsiaTheme="majorEastAsia" w:hAnsiTheme="majorHAnsi" w:cstheme="majorBidi"/>
      <w:b/>
      <w:sz w:val="24"/>
      <w:szCs w:val="32"/>
    </w:rPr>
  </w:style>
  <w:style w:type="character" w:styleId="Hyperlink">
    <w:name w:val="Hyperlink"/>
    <w:basedOn w:val="DefaultParagraphFont"/>
    <w:uiPriority w:val="99"/>
    <w:semiHidden/>
    <w:unhideWhenUsed/>
    <w:rsid w:val="00DC772F"/>
    <w:rPr>
      <w:color w:val="0000FF"/>
      <w:u w:val="single"/>
    </w:rPr>
  </w:style>
  <w:style w:type="character" w:styleId="CommentReference">
    <w:name w:val="annotation reference"/>
    <w:basedOn w:val="DefaultParagraphFont"/>
    <w:uiPriority w:val="99"/>
    <w:semiHidden/>
    <w:unhideWhenUsed/>
    <w:rsid w:val="00260596"/>
    <w:rPr>
      <w:sz w:val="16"/>
      <w:szCs w:val="16"/>
    </w:rPr>
  </w:style>
  <w:style w:type="paragraph" w:styleId="CommentText">
    <w:name w:val="annotation text"/>
    <w:basedOn w:val="Normal"/>
    <w:link w:val="CommentTextChar"/>
    <w:uiPriority w:val="99"/>
    <w:semiHidden/>
    <w:unhideWhenUsed/>
    <w:rsid w:val="00260596"/>
    <w:rPr>
      <w:sz w:val="20"/>
      <w:szCs w:val="20"/>
    </w:rPr>
  </w:style>
  <w:style w:type="character" w:customStyle="1" w:styleId="CommentTextChar">
    <w:name w:val="Comment Text Char"/>
    <w:basedOn w:val="DefaultParagraphFont"/>
    <w:link w:val="CommentText"/>
    <w:uiPriority w:val="99"/>
    <w:semiHidden/>
    <w:rsid w:val="00260596"/>
    <w:rPr>
      <w:sz w:val="20"/>
      <w:szCs w:val="20"/>
    </w:rPr>
  </w:style>
  <w:style w:type="paragraph" w:styleId="CommentSubject">
    <w:name w:val="annotation subject"/>
    <w:basedOn w:val="CommentText"/>
    <w:next w:val="CommentText"/>
    <w:link w:val="CommentSubjectChar"/>
    <w:uiPriority w:val="99"/>
    <w:semiHidden/>
    <w:unhideWhenUsed/>
    <w:rsid w:val="00260596"/>
    <w:rPr>
      <w:b/>
      <w:bCs/>
    </w:rPr>
  </w:style>
  <w:style w:type="character" w:customStyle="1" w:styleId="CommentSubjectChar">
    <w:name w:val="Comment Subject Char"/>
    <w:basedOn w:val="CommentTextChar"/>
    <w:link w:val="CommentSubject"/>
    <w:uiPriority w:val="99"/>
    <w:semiHidden/>
    <w:rsid w:val="00260596"/>
    <w:rPr>
      <w:b/>
      <w:bCs/>
      <w:sz w:val="20"/>
      <w:szCs w:val="20"/>
    </w:rPr>
  </w:style>
  <w:style w:type="character" w:styleId="FollowedHyperlink">
    <w:name w:val="FollowedHyperlink"/>
    <w:basedOn w:val="DefaultParagraphFont"/>
    <w:uiPriority w:val="99"/>
    <w:semiHidden/>
    <w:unhideWhenUsed/>
    <w:rsid w:val="00600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hs.psu.edu/waste-dispo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3583C-240A-44DC-9106-E7CF20CB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 Williams</dc:creator>
  <cp:keywords/>
  <dc:description/>
  <cp:lastModifiedBy>Charles Williams</cp:lastModifiedBy>
  <cp:revision>3</cp:revision>
  <cp:lastPrinted>2017-07-18T19:13:00Z</cp:lastPrinted>
  <dcterms:created xsi:type="dcterms:W3CDTF">2021-01-04T20:23:00Z</dcterms:created>
  <dcterms:modified xsi:type="dcterms:W3CDTF">2021-02-20T22:54:00Z</dcterms:modified>
</cp:coreProperties>
</file>